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b/>
          <w:color w:val="000000"/>
          <w:sz w:val="84"/>
          <w:szCs w:val="84"/>
          <w:u w:val="single"/>
        </w:rPr>
      </w:pPr>
    </w:p>
    <w:p>
      <w:pPr>
        <w:spacing w:before="312" w:beforeLines="100" w:after="312" w:afterLines="100"/>
        <w:jc w:val="center"/>
        <w:rPr>
          <w:rFonts w:ascii="宋体" w:hAnsi="宋体"/>
          <w:b/>
          <w:color w:val="000000"/>
          <w:sz w:val="72"/>
          <w:szCs w:val="72"/>
        </w:rPr>
      </w:pPr>
      <w:r>
        <w:rPr>
          <w:rFonts w:hint="eastAsia" w:ascii="宋体" w:hAnsi="宋体"/>
          <w:b/>
          <w:color w:val="000000"/>
          <w:sz w:val="72"/>
          <w:szCs w:val="72"/>
        </w:rPr>
        <w:t>数字媒体应</w:t>
      </w:r>
      <w:bookmarkStart w:id="2" w:name="_GoBack"/>
      <w:bookmarkEnd w:id="2"/>
      <w:r>
        <w:rPr>
          <w:rFonts w:hint="eastAsia" w:ascii="宋体" w:hAnsi="宋体"/>
          <w:b/>
          <w:color w:val="000000"/>
          <w:sz w:val="72"/>
          <w:szCs w:val="72"/>
        </w:rPr>
        <w:t>用技术专业</w:t>
      </w:r>
    </w:p>
    <w:p>
      <w:pPr>
        <w:spacing w:before="312" w:beforeLines="100" w:after="312" w:afterLines="100"/>
        <w:jc w:val="center"/>
        <w:rPr>
          <w:rFonts w:ascii="宋体" w:hAnsi="宋体"/>
          <w:b/>
          <w:color w:val="000000"/>
          <w:sz w:val="84"/>
          <w:szCs w:val="84"/>
        </w:rPr>
      </w:pPr>
      <w:r>
        <w:rPr>
          <w:rFonts w:hint="eastAsia" w:ascii="宋体" w:hAnsi="宋体"/>
          <w:b/>
          <w:color w:val="000000"/>
          <w:sz w:val="72"/>
          <w:szCs w:val="72"/>
        </w:rPr>
        <w:t>人才培养方案</w:t>
      </w:r>
    </w:p>
    <w:p>
      <w:pPr>
        <w:spacing w:before="312" w:beforeLines="100" w:after="312" w:afterLines="100"/>
        <w:jc w:val="center"/>
        <w:rPr>
          <w:rFonts w:ascii="宋体" w:hAnsi="宋体"/>
          <w:b/>
          <w:color w:val="000000"/>
          <w:sz w:val="32"/>
          <w:szCs w:val="32"/>
        </w:rPr>
      </w:pPr>
      <w:r>
        <w:rPr>
          <w:rFonts w:hint="eastAsia" w:ascii="宋体" w:hAnsi="宋体"/>
          <w:b/>
          <w:color w:val="000000"/>
          <w:sz w:val="32"/>
          <w:szCs w:val="32"/>
        </w:rPr>
        <w:t>（影视后期方向）</w:t>
      </w:r>
    </w:p>
    <w:p>
      <w:pPr>
        <w:spacing w:before="312" w:beforeLines="100" w:after="312" w:afterLines="100"/>
        <w:jc w:val="center"/>
        <w:rPr>
          <w:rFonts w:ascii="宋体" w:hAnsi="宋体"/>
          <w:b/>
          <w:color w:val="000000"/>
          <w:sz w:val="32"/>
          <w:szCs w:val="32"/>
        </w:rPr>
      </w:pPr>
      <w:r>
        <w:rPr>
          <w:rFonts w:hint="eastAsia" w:ascii="宋体" w:hAnsi="宋体"/>
          <w:b/>
          <w:color w:val="000000"/>
          <w:sz w:val="32"/>
          <w:szCs w:val="32"/>
        </w:rPr>
        <w:t>（</w:t>
      </w:r>
      <w:r>
        <w:rPr>
          <w:rFonts w:ascii="宋体" w:hAnsi="宋体"/>
          <w:b/>
          <w:color w:val="000000"/>
          <w:sz w:val="32"/>
          <w:szCs w:val="32"/>
        </w:rPr>
        <w:t>2020</w:t>
      </w:r>
      <w:r>
        <w:rPr>
          <w:rFonts w:hint="eastAsia" w:ascii="宋体" w:hAnsi="宋体"/>
          <w:b/>
          <w:color w:val="000000"/>
          <w:sz w:val="32"/>
          <w:szCs w:val="32"/>
        </w:rPr>
        <w:t>级高职扩招生源）</w:t>
      </w:r>
    </w:p>
    <w:tbl>
      <w:tblPr>
        <w:tblStyle w:val="6"/>
        <w:tblpPr w:leftFromText="180" w:rightFromText="180" w:vertAnchor="text" w:horzAnchor="margin" w:tblpXSpec="center" w:tblpY="831"/>
        <w:tblW w:w="0" w:type="auto"/>
        <w:tblInd w:w="0" w:type="dxa"/>
        <w:tblLayout w:type="fixed"/>
        <w:tblCellMar>
          <w:top w:w="0" w:type="dxa"/>
          <w:left w:w="108" w:type="dxa"/>
          <w:bottom w:w="0" w:type="dxa"/>
          <w:right w:w="108" w:type="dxa"/>
        </w:tblCellMar>
      </w:tblPr>
      <w:tblGrid>
        <w:gridCol w:w="2988"/>
        <w:gridCol w:w="496"/>
        <w:gridCol w:w="2964"/>
      </w:tblGrid>
      <w:tr>
        <w:tblPrEx>
          <w:tblCellMar>
            <w:top w:w="0" w:type="dxa"/>
            <w:left w:w="108" w:type="dxa"/>
            <w:bottom w:w="0" w:type="dxa"/>
            <w:right w:w="108" w:type="dxa"/>
          </w:tblCellMar>
        </w:tblPrEx>
        <w:tc>
          <w:tcPr>
            <w:tcW w:w="2988" w:type="dxa"/>
            <w:vAlign w:val="center"/>
          </w:tcPr>
          <w:p>
            <w:pPr>
              <w:spacing w:line="600" w:lineRule="exact"/>
              <w:jc w:val="right"/>
              <w:rPr>
                <w:rFonts w:ascii="宋体" w:hAnsi="宋体"/>
                <w:bCs/>
                <w:color w:val="000000"/>
                <w:sz w:val="28"/>
                <w:szCs w:val="28"/>
              </w:rPr>
            </w:pPr>
            <w:r>
              <w:rPr>
                <w:rFonts w:hint="eastAsia" w:ascii="宋体" w:hAnsi="宋体"/>
                <w:bCs/>
                <w:color w:val="000000"/>
                <w:sz w:val="28"/>
                <w:szCs w:val="28"/>
              </w:rPr>
              <w:t>主持人</w:t>
            </w:r>
          </w:p>
        </w:tc>
        <w:tc>
          <w:tcPr>
            <w:tcW w:w="496" w:type="dxa"/>
            <w:tcBorders>
              <w:right w:val="double" w:color="auto" w:sz="4" w:space="0"/>
            </w:tcBorders>
            <w:vAlign w:val="center"/>
          </w:tcPr>
          <w:p>
            <w:pPr>
              <w:spacing w:line="600" w:lineRule="exact"/>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spacing w:line="440" w:lineRule="exact"/>
              <w:rPr>
                <w:rFonts w:hint="default" w:ascii="宋体" w:hAnsi="宋体" w:eastAsia="宋体"/>
                <w:bCs/>
                <w:color w:val="000000"/>
                <w:sz w:val="28"/>
                <w:szCs w:val="28"/>
                <w:lang w:val="en-US" w:eastAsia="zh-CN"/>
              </w:rPr>
            </w:pPr>
          </w:p>
        </w:tc>
      </w:tr>
      <w:tr>
        <w:tblPrEx>
          <w:tblCellMar>
            <w:top w:w="0" w:type="dxa"/>
            <w:left w:w="108" w:type="dxa"/>
            <w:bottom w:w="0" w:type="dxa"/>
            <w:right w:w="108" w:type="dxa"/>
          </w:tblCellMar>
        </w:tblPrEx>
        <w:tc>
          <w:tcPr>
            <w:tcW w:w="2988" w:type="dxa"/>
            <w:vAlign w:val="center"/>
          </w:tcPr>
          <w:p>
            <w:pPr>
              <w:spacing w:line="600" w:lineRule="exact"/>
              <w:jc w:val="right"/>
              <w:rPr>
                <w:rFonts w:ascii="宋体" w:hAnsi="宋体"/>
                <w:bCs/>
                <w:color w:val="000000"/>
                <w:sz w:val="28"/>
                <w:szCs w:val="28"/>
              </w:rPr>
            </w:pPr>
            <w:r>
              <w:rPr>
                <w:rFonts w:hint="eastAsia" w:ascii="宋体" w:hAnsi="宋体"/>
                <w:bCs/>
                <w:color w:val="000000"/>
                <w:sz w:val="28"/>
                <w:szCs w:val="28"/>
              </w:rPr>
              <w:t>系主任</w:t>
            </w:r>
          </w:p>
        </w:tc>
        <w:tc>
          <w:tcPr>
            <w:tcW w:w="496" w:type="dxa"/>
            <w:tcBorders>
              <w:right w:val="double" w:color="auto" w:sz="4" w:space="0"/>
            </w:tcBorders>
            <w:vAlign w:val="center"/>
          </w:tcPr>
          <w:p>
            <w:pPr>
              <w:spacing w:line="600" w:lineRule="exact"/>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spacing w:line="440" w:lineRule="exact"/>
              <w:rPr>
                <w:rFonts w:hint="eastAsia" w:ascii="宋体" w:hAnsi="宋体" w:eastAsia="宋体"/>
                <w:bCs/>
                <w:color w:val="000000"/>
                <w:sz w:val="28"/>
                <w:szCs w:val="28"/>
                <w:lang w:eastAsia="zh-CN"/>
              </w:rPr>
            </w:pPr>
          </w:p>
        </w:tc>
      </w:tr>
      <w:tr>
        <w:tblPrEx>
          <w:tblCellMar>
            <w:top w:w="0" w:type="dxa"/>
            <w:left w:w="108" w:type="dxa"/>
            <w:bottom w:w="0" w:type="dxa"/>
            <w:right w:w="108" w:type="dxa"/>
          </w:tblCellMar>
        </w:tblPrEx>
        <w:trPr>
          <w:trHeight w:val="351" w:hRule="atLeast"/>
        </w:trPr>
        <w:tc>
          <w:tcPr>
            <w:tcW w:w="2988" w:type="dxa"/>
            <w:vAlign w:val="center"/>
          </w:tcPr>
          <w:p>
            <w:pPr>
              <w:spacing w:line="600" w:lineRule="exact"/>
              <w:jc w:val="right"/>
              <w:rPr>
                <w:rFonts w:ascii="宋体" w:hAnsi="宋体"/>
                <w:bCs/>
                <w:color w:val="000000"/>
                <w:sz w:val="28"/>
                <w:szCs w:val="28"/>
              </w:rPr>
            </w:pPr>
            <w:r>
              <w:rPr>
                <w:rFonts w:hint="eastAsia" w:ascii="宋体" w:hAnsi="宋体"/>
                <w:bCs/>
                <w:color w:val="000000"/>
                <w:sz w:val="28"/>
                <w:szCs w:val="28"/>
              </w:rPr>
              <w:t>专业指导委员会主任</w:t>
            </w:r>
          </w:p>
        </w:tc>
        <w:tc>
          <w:tcPr>
            <w:tcW w:w="496" w:type="dxa"/>
            <w:tcBorders>
              <w:right w:val="double" w:color="auto" w:sz="4" w:space="0"/>
            </w:tcBorders>
            <w:vAlign w:val="center"/>
          </w:tcPr>
          <w:p>
            <w:pPr>
              <w:spacing w:line="600" w:lineRule="exact"/>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spacing w:line="440" w:lineRule="exact"/>
              <w:rPr>
                <w:rFonts w:hint="eastAsia" w:ascii="宋体" w:hAnsi="宋体" w:eastAsia="宋体"/>
                <w:bCs/>
                <w:color w:val="000000"/>
                <w:sz w:val="28"/>
                <w:szCs w:val="28"/>
                <w:lang w:eastAsia="zh-CN"/>
              </w:rPr>
            </w:pPr>
          </w:p>
        </w:tc>
      </w:tr>
      <w:tr>
        <w:tblPrEx>
          <w:tblCellMar>
            <w:top w:w="0" w:type="dxa"/>
            <w:left w:w="108" w:type="dxa"/>
            <w:bottom w:w="0" w:type="dxa"/>
            <w:right w:w="108" w:type="dxa"/>
          </w:tblCellMar>
        </w:tblPrEx>
        <w:tc>
          <w:tcPr>
            <w:tcW w:w="2988" w:type="dxa"/>
            <w:vAlign w:val="center"/>
          </w:tcPr>
          <w:p>
            <w:pPr>
              <w:spacing w:line="600" w:lineRule="exact"/>
              <w:jc w:val="right"/>
              <w:rPr>
                <w:rFonts w:ascii="宋体" w:hAnsi="宋体"/>
                <w:color w:val="000000"/>
                <w:sz w:val="28"/>
                <w:szCs w:val="28"/>
              </w:rPr>
            </w:pPr>
            <w:r>
              <w:rPr>
                <w:rFonts w:hint="eastAsia" w:ascii="宋体" w:hAnsi="宋体"/>
                <w:color w:val="000000"/>
                <w:sz w:val="28"/>
                <w:szCs w:val="28"/>
              </w:rPr>
              <w:t>编制（修订）时间</w:t>
            </w:r>
          </w:p>
        </w:tc>
        <w:tc>
          <w:tcPr>
            <w:tcW w:w="496" w:type="dxa"/>
            <w:tcBorders>
              <w:right w:val="double" w:color="auto" w:sz="4" w:space="0"/>
            </w:tcBorders>
            <w:vAlign w:val="center"/>
          </w:tcPr>
          <w:p>
            <w:pPr>
              <w:spacing w:line="600" w:lineRule="exact"/>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spacing w:line="440" w:lineRule="exact"/>
              <w:rPr>
                <w:rFonts w:hint="default" w:ascii="宋体" w:hAnsi="宋体" w:eastAsia="宋体"/>
                <w:bCs/>
                <w:color w:val="000000"/>
                <w:sz w:val="28"/>
                <w:szCs w:val="28"/>
                <w:lang w:val="en-US" w:eastAsia="zh-CN"/>
              </w:rPr>
            </w:pPr>
          </w:p>
        </w:tc>
      </w:tr>
      <w:tr>
        <w:tblPrEx>
          <w:tblCellMar>
            <w:top w:w="0" w:type="dxa"/>
            <w:left w:w="108" w:type="dxa"/>
            <w:bottom w:w="0" w:type="dxa"/>
            <w:right w:w="108" w:type="dxa"/>
          </w:tblCellMar>
        </w:tblPrEx>
        <w:tc>
          <w:tcPr>
            <w:tcW w:w="2988" w:type="dxa"/>
            <w:vAlign w:val="center"/>
          </w:tcPr>
          <w:p>
            <w:pPr>
              <w:spacing w:line="600" w:lineRule="exact"/>
              <w:jc w:val="right"/>
              <w:rPr>
                <w:rFonts w:ascii="宋体" w:hAnsi="宋体"/>
                <w:color w:val="000000"/>
                <w:sz w:val="28"/>
                <w:szCs w:val="28"/>
              </w:rPr>
            </w:pPr>
          </w:p>
        </w:tc>
        <w:tc>
          <w:tcPr>
            <w:tcW w:w="496" w:type="dxa"/>
            <w:tcBorders>
              <w:right w:val="double" w:color="auto" w:sz="4" w:space="0"/>
            </w:tcBorders>
            <w:vAlign w:val="center"/>
          </w:tcPr>
          <w:p>
            <w:pPr>
              <w:spacing w:line="600" w:lineRule="exact"/>
              <w:jc w:val="center"/>
              <w:rPr>
                <w:rFonts w:ascii="宋体" w:hAnsi="宋体"/>
                <w:bCs/>
                <w:color w:val="000000"/>
                <w:sz w:val="28"/>
                <w:szCs w:val="28"/>
              </w:rPr>
            </w:pPr>
          </w:p>
        </w:tc>
        <w:tc>
          <w:tcPr>
            <w:tcW w:w="2964" w:type="dxa"/>
            <w:tcBorders>
              <w:left w:val="double" w:color="auto" w:sz="4" w:space="0"/>
            </w:tcBorders>
            <w:vAlign w:val="center"/>
          </w:tcPr>
          <w:p>
            <w:pPr>
              <w:spacing w:line="440" w:lineRule="exact"/>
              <w:rPr>
                <w:rFonts w:ascii="宋体" w:hAnsi="宋体"/>
                <w:bCs/>
                <w:color w:val="000000"/>
                <w:sz w:val="28"/>
                <w:szCs w:val="28"/>
              </w:rPr>
            </w:pPr>
          </w:p>
        </w:tc>
      </w:tr>
      <w:tr>
        <w:tblPrEx>
          <w:tblCellMar>
            <w:top w:w="0" w:type="dxa"/>
            <w:left w:w="108" w:type="dxa"/>
            <w:bottom w:w="0" w:type="dxa"/>
            <w:right w:w="108" w:type="dxa"/>
          </w:tblCellMar>
        </w:tblPrEx>
        <w:tc>
          <w:tcPr>
            <w:tcW w:w="2988" w:type="dxa"/>
            <w:vAlign w:val="center"/>
          </w:tcPr>
          <w:p>
            <w:pPr>
              <w:spacing w:line="600" w:lineRule="exact"/>
              <w:jc w:val="right"/>
              <w:rPr>
                <w:rFonts w:ascii="宋体" w:hAnsi="宋体"/>
                <w:bCs/>
                <w:color w:val="000000"/>
                <w:sz w:val="28"/>
                <w:szCs w:val="28"/>
              </w:rPr>
            </w:pPr>
            <w:r>
              <w:rPr>
                <w:rFonts w:hint="eastAsia" w:ascii="宋体" w:hAnsi="宋体"/>
                <w:bCs/>
                <w:color w:val="000000"/>
                <w:sz w:val="28"/>
                <w:szCs w:val="28"/>
              </w:rPr>
              <w:t>教务处审查</w:t>
            </w:r>
          </w:p>
        </w:tc>
        <w:tc>
          <w:tcPr>
            <w:tcW w:w="496" w:type="dxa"/>
            <w:tcBorders>
              <w:right w:val="double" w:color="auto" w:sz="4" w:space="0"/>
            </w:tcBorders>
            <w:vAlign w:val="center"/>
          </w:tcPr>
          <w:p>
            <w:pPr>
              <w:spacing w:line="600" w:lineRule="exact"/>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rPr>
                <w:rFonts w:ascii="宋体" w:hAnsi="宋体"/>
                <w:bCs/>
                <w:color w:val="000000"/>
                <w:sz w:val="28"/>
                <w:szCs w:val="28"/>
              </w:rPr>
            </w:pPr>
          </w:p>
        </w:tc>
      </w:tr>
      <w:tr>
        <w:tc>
          <w:tcPr>
            <w:tcW w:w="2988" w:type="dxa"/>
            <w:vAlign w:val="center"/>
          </w:tcPr>
          <w:p>
            <w:pPr>
              <w:spacing w:line="600" w:lineRule="exact"/>
              <w:jc w:val="right"/>
              <w:rPr>
                <w:rFonts w:ascii="宋体" w:hAnsi="宋体"/>
                <w:bCs/>
                <w:color w:val="000000"/>
                <w:sz w:val="28"/>
                <w:szCs w:val="28"/>
              </w:rPr>
            </w:pPr>
            <w:r>
              <w:rPr>
                <w:rFonts w:hint="eastAsia" w:ascii="宋体" w:hAnsi="宋体"/>
                <w:bCs/>
                <w:color w:val="000000"/>
                <w:sz w:val="28"/>
                <w:szCs w:val="28"/>
              </w:rPr>
              <w:t>主管院长批准</w:t>
            </w:r>
          </w:p>
        </w:tc>
        <w:tc>
          <w:tcPr>
            <w:tcW w:w="496" w:type="dxa"/>
            <w:tcBorders>
              <w:right w:val="double" w:color="auto" w:sz="4" w:space="0"/>
            </w:tcBorders>
            <w:vAlign w:val="center"/>
          </w:tcPr>
          <w:p>
            <w:pPr>
              <w:spacing w:line="600" w:lineRule="exact"/>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rPr>
                <w:rFonts w:ascii="宋体" w:hAnsi="宋体"/>
                <w:bCs/>
                <w:color w:val="000000"/>
                <w:sz w:val="28"/>
                <w:szCs w:val="28"/>
              </w:rPr>
            </w:pPr>
          </w:p>
        </w:tc>
      </w:tr>
      <w:tr>
        <w:tblPrEx>
          <w:tblCellMar>
            <w:top w:w="0" w:type="dxa"/>
            <w:left w:w="108" w:type="dxa"/>
            <w:bottom w:w="0" w:type="dxa"/>
            <w:right w:w="108" w:type="dxa"/>
          </w:tblCellMar>
        </w:tblPrEx>
        <w:tc>
          <w:tcPr>
            <w:tcW w:w="2988" w:type="dxa"/>
            <w:vAlign w:val="center"/>
          </w:tcPr>
          <w:p>
            <w:pPr>
              <w:spacing w:line="600" w:lineRule="exact"/>
              <w:jc w:val="right"/>
              <w:rPr>
                <w:rFonts w:ascii="宋体" w:hAnsi="宋体"/>
                <w:bCs/>
                <w:color w:val="000000"/>
                <w:sz w:val="28"/>
                <w:szCs w:val="28"/>
              </w:rPr>
            </w:pPr>
            <w:r>
              <w:rPr>
                <w:rFonts w:hint="eastAsia" w:ascii="宋体" w:hAnsi="宋体"/>
                <w:bCs/>
                <w:color w:val="000000"/>
                <w:sz w:val="28"/>
                <w:szCs w:val="28"/>
              </w:rPr>
              <w:t>审批时间</w:t>
            </w:r>
          </w:p>
        </w:tc>
        <w:tc>
          <w:tcPr>
            <w:tcW w:w="496" w:type="dxa"/>
            <w:tcBorders>
              <w:right w:val="double" w:color="auto" w:sz="4" w:space="0"/>
            </w:tcBorders>
            <w:vAlign w:val="center"/>
          </w:tcPr>
          <w:p>
            <w:pPr>
              <w:spacing w:line="600" w:lineRule="exact"/>
              <w:jc w:val="center"/>
              <w:rPr>
                <w:rFonts w:ascii="宋体" w:hAnsi="宋体"/>
                <w:bCs/>
                <w:color w:val="000000"/>
                <w:sz w:val="28"/>
                <w:szCs w:val="28"/>
              </w:rPr>
            </w:pPr>
            <w:r>
              <w:rPr>
                <w:rFonts w:hint="eastAsia" w:ascii="宋体" w:hAnsi="宋体"/>
                <w:bCs/>
                <w:color w:val="000000"/>
                <w:sz w:val="28"/>
                <w:szCs w:val="28"/>
              </w:rPr>
              <w:t>：</w:t>
            </w:r>
          </w:p>
        </w:tc>
        <w:tc>
          <w:tcPr>
            <w:tcW w:w="2964" w:type="dxa"/>
            <w:tcBorders>
              <w:left w:val="double" w:color="auto" w:sz="4" w:space="0"/>
            </w:tcBorders>
            <w:vAlign w:val="center"/>
          </w:tcPr>
          <w:p>
            <w:pPr>
              <w:spacing w:line="440" w:lineRule="exact"/>
              <w:rPr>
                <w:rFonts w:ascii="宋体" w:hAnsi="宋体"/>
                <w:bCs/>
                <w:color w:val="000000"/>
                <w:sz w:val="28"/>
                <w:szCs w:val="28"/>
              </w:rPr>
            </w:pPr>
          </w:p>
        </w:tc>
      </w:tr>
    </w:tbl>
    <w:p>
      <w:pPr>
        <w:spacing w:before="312" w:beforeLines="100" w:after="312" w:afterLines="100"/>
        <w:jc w:val="center"/>
        <w:rPr>
          <w:rFonts w:ascii="宋体" w:hAnsi="宋体"/>
          <w:b/>
          <w:color w:val="000000"/>
          <w:sz w:val="32"/>
          <w:szCs w:val="32"/>
        </w:rPr>
      </w:pPr>
    </w:p>
    <w:p>
      <w:pPr>
        <w:spacing w:before="312" w:beforeLines="100" w:after="312" w:afterLines="100"/>
        <w:jc w:val="center"/>
        <w:rPr>
          <w:rFonts w:ascii="宋体" w:hAnsi="宋体"/>
          <w:b/>
          <w:color w:val="000000"/>
          <w:sz w:val="30"/>
          <w:szCs w:val="30"/>
        </w:rPr>
      </w:pPr>
    </w:p>
    <w:p>
      <w:pPr>
        <w:spacing w:before="312" w:beforeLines="100" w:after="312" w:afterLines="100"/>
        <w:jc w:val="center"/>
        <w:rPr>
          <w:rFonts w:ascii="宋体" w:hAnsi="宋体"/>
          <w:b/>
          <w:color w:val="000000"/>
          <w:sz w:val="30"/>
          <w:szCs w:val="30"/>
        </w:rPr>
      </w:pPr>
    </w:p>
    <w:p>
      <w:pPr>
        <w:spacing w:before="312" w:beforeLines="100" w:after="312" w:afterLines="100"/>
        <w:jc w:val="center"/>
        <w:rPr>
          <w:rFonts w:ascii="宋体" w:hAnsi="宋体"/>
          <w:b/>
          <w:color w:val="000000"/>
          <w:sz w:val="30"/>
          <w:szCs w:val="30"/>
        </w:rPr>
      </w:pPr>
    </w:p>
    <w:p>
      <w:pPr>
        <w:spacing w:before="312" w:beforeLines="100" w:after="312" w:afterLines="100"/>
        <w:jc w:val="center"/>
        <w:rPr>
          <w:rFonts w:ascii="宋体" w:hAnsi="宋体"/>
          <w:b/>
          <w:color w:val="000000"/>
          <w:sz w:val="30"/>
          <w:szCs w:val="30"/>
        </w:rPr>
      </w:pPr>
    </w:p>
    <w:p>
      <w:pPr>
        <w:spacing w:before="312" w:beforeLines="100" w:after="312" w:afterLines="100"/>
        <w:jc w:val="center"/>
        <w:rPr>
          <w:rFonts w:ascii="宋体" w:hAnsi="宋体"/>
          <w:b/>
          <w:color w:val="000000"/>
          <w:sz w:val="30"/>
          <w:szCs w:val="30"/>
        </w:rPr>
      </w:pPr>
    </w:p>
    <w:p>
      <w:pPr>
        <w:spacing w:after="156" w:afterLines="50"/>
        <w:jc w:val="center"/>
        <w:rPr>
          <w:rFonts w:ascii="宋体" w:hAnsi="宋体"/>
          <w:b/>
          <w:color w:val="000000"/>
          <w:w w:val="90"/>
          <w:sz w:val="32"/>
          <w:szCs w:val="32"/>
        </w:rPr>
      </w:pPr>
    </w:p>
    <w:p>
      <w:pPr>
        <w:spacing w:line="360" w:lineRule="auto"/>
        <w:jc w:val="center"/>
        <w:rPr>
          <w:rFonts w:ascii="宋体" w:hAnsi="宋体"/>
          <w:b/>
          <w:i/>
          <w:color w:val="000000"/>
          <w:sz w:val="18"/>
          <w:szCs w:val="18"/>
        </w:rPr>
      </w:pPr>
      <w:r>
        <w:rPr>
          <w:rFonts w:hint="eastAsia" w:ascii="宋体" w:hAnsi="宋体"/>
          <w:b/>
          <w:color w:val="000000"/>
          <w:w w:val="90"/>
          <w:sz w:val="32"/>
          <w:szCs w:val="32"/>
        </w:rPr>
        <w:t>赤峰工业职业技术学院  编印</w:t>
      </w:r>
      <w:r>
        <w:rPr>
          <w:rFonts w:ascii="仿宋" w:hAnsi="仿宋" w:eastAsia="仿宋"/>
          <w:b/>
          <w:color w:val="000000"/>
          <w:sz w:val="32"/>
          <w:szCs w:val="32"/>
        </w:rPr>
        <w:br w:type="page"/>
      </w:r>
      <w:r>
        <w:rPr>
          <w:rFonts w:hint="eastAsia" w:ascii="宋体" w:hAnsi="宋体"/>
          <w:b/>
          <w:color w:val="000000"/>
          <w:sz w:val="32"/>
          <w:szCs w:val="32"/>
        </w:rPr>
        <w:t>赤峰工业职业技术学院</w:t>
      </w:r>
    </w:p>
    <w:p>
      <w:pPr>
        <w:spacing w:line="360" w:lineRule="auto"/>
        <w:jc w:val="center"/>
        <w:rPr>
          <w:rFonts w:ascii="宋体" w:hAnsi="宋体"/>
          <w:b/>
          <w:color w:val="000000"/>
          <w:sz w:val="44"/>
          <w:szCs w:val="44"/>
        </w:rPr>
      </w:pPr>
      <w:r>
        <w:rPr>
          <w:rFonts w:hint="eastAsia" w:ascii="宋体" w:hAnsi="宋体"/>
          <w:b/>
          <w:color w:val="000000"/>
          <w:sz w:val="44"/>
          <w:szCs w:val="44"/>
        </w:rPr>
        <w:t>数字媒体应用技术专业（影视后期方向）人才培养方案</w:t>
      </w:r>
    </w:p>
    <w:p>
      <w:pPr>
        <w:spacing w:line="360" w:lineRule="auto"/>
        <w:jc w:val="center"/>
        <w:rPr>
          <w:rFonts w:ascii="宋体" w:hAnsi="宋体"/>
          <w:color w:val="000000"/>
          <w:sz w:val="24"/>
        </w:rPr>
      </w:pPr>
      <w:r>
        <w:rPr>
          <w:rFonts w:hint="eastAsia" w:ascii="宋体" w:hAnsi="宋体"/>
          <w:color w:val="000000"/>
          <w:sz w:val="24"/>
        </w:rPr>
        <w:t>（2020级高职扩招生源）</w:t>
      </w:r>
    </w:p>
    <w:p>
      <w:pPr>
        <w:tabs>
          <w:tab w:val="left" w:pos="420"/>
        </w:tabs>
        <w:spacing w:line="360" w:lineRule="auto"/>
        <w:jc w:val="center"/>
        <w:rPr>
          <w:rFonts w:ascii="宋体" w:hAnsi="宋体"/>
          <w:color w:val="000000"/>
          <w:sz w:val="24"/>
        </w:rPr>
      </w:pPr>
      <w:r>
        <w:rPr>
          <w:rFonts w:hint="eastAsia" w:ascii="宋体" w:hAnsi="宋体"/>
          <w:color w:val="000000"/>
          <w:sz w:val="24"/>
        </w:rPr>
        <w:t>（适用年级:</w:t>
      </w:r>
      <w:r>
        <w:rPr>
          <w:rFonts w:ascii="宋体" w:hAnsi="宋体"/>
          <w:color w:val="000000"/>
          <w:sz w:val="24"/>
        </w:rPr>
        <w:t>2020</w:t>
      </w:r>
      <w:r>
        <w:rPr>
          <w:rFonts w:hint="eastAsia" w:ascii="宋体" w:hAnsi="宋体"/>
          <w:color w:val="000000"/>
          <w:sz w:val="24"/>
        </w:rPr>
        <w:t>级高职扩招生   修订时间：</w:t>
      </w:r>
      <w:r>
        <w:rPr>
          <w:rFonts w:ascii="宋体" w:hAnsi="宋体"/>
          <w:color w:val="000000"/>
          <w:sz w:val="24"/>
        </w:rPr>
        <w:t>2020</w:t>
      </w:r>
      <w:r>
        <w:rPr>
          <w:rFonts w:hint="eastAsia" w:ascii="宋体" w:hAnsi="宋体"/>
          <w:color w:val="000000"/>
          <w:sz w:val="24"/>
        </w:rPr>
        <w:t>年</w:t>
      </w:r>
      <w:r>
        <w:rPr>
          <w:rFonts w:ascii="宋体" w:hAnsi="宋体"/>
          <w:color w:val="000000"/>
          <w:sz w:val="24"/>
        </w:rPr>
        <w:t>6</w:t>
      </w:r>
      <w:r>
        <w:rPr>
          <w:rFonts w:hint="eastAsia" w:ascii="宋体" w:hAnsi="宋体"/>
          <w:color w:val="000000"/>
          <w:sz w:val="24"/>
        </w:rPr>
        <w:t>月）</w:t>
      </w:r>
    </w:p>
    <w:p>
      <w:pPr>
        <w:spacing w:line="360" w:lineRule="auto"/>
        <w:ind w:left="-23" w:firstLine="482" w:firstLineChars="200"/>
        <w:rPr>
          <w:rFonts w:ascii="仿宋_GB2312" w:hAnsi="仿宋" w:eastAsia="仿宋_GB2312"/>
          <w:b/>
          <w:color w:val="000000"/>
          <w:sz w:val="24"/>
        </w:rPr>
      </w:pP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一、专业名称与代码</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（一）专业名称：数字媒体应用技术</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（二）专业代码：610210</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二、入学要求</w:t>
      </w:r>
    </w:p>
    <w:p>
      <w:pPr>
        <w:tabs>
          <w:tab w:val="left" w:pos="420"/>
        </w:tabs>
        <w:spacing w:line="360" w:lineRule="auto"/>
        <w:ind w:firstLine="480" w:firstLineChars="200"/>
        <w:rPr>
          <w:rFonts w:ascii="仿宋_GB2312" w:hAnsi="仿宋" w:eastAsia="仿宋_GB2312"/>
          <w:color w:val="000000"/>
          <w:sz w:val="24"/>
        </w:rPr>
      </w:pPr>
      <w:r>
        <w:rPr>
          <w:rFonts w:hint="eastAsia" w:ascii="仿宋" w:hAnsi="仿宋" w:eastAsia="仿宋"/>
          <w:color w:val="000000"/>
          <w:sz w:val="24"/>
        </w:rPr>
        <w:t>退伍军人、返乡农民工等</w:t>
      </w:r>
      <w:r>
        <w:rPr>
          <w:rFonts w:hint="eastAsia" w:ascii="仿宋_GB2312" w:hAnsi="仿宋" w:eastAsia="仿宋_GB2312"/>
          <w:color w:val="000000"/>
          <w:sz w:val="24"/>
        </w:rPr>
        <w:t>。</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三、修业年限</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弹性学制，</w:t>
      </w:r>
      <w:r>
        <w:rPr>
          <w:rFonts w:hint="eastAsia" w:ascii="仿宋" w:hAnsi="仿宋" w:eastAsia="仿宋"/>
          <w:color w:val="000000"/>
          <w:sz w:val="24"/>
        </w:rPr>
        <w:t>最长可在6年内工学交替完成学业</w:t>
      </w:r>
      <w:r>
        <w:rPr>
          <w:rFonts w:hint="eastAsia" w:ascii="仿宋_GB2312" w:hAnsi="仿宋" w:eastAsia="仿宋_GB2312"/>
          <w:color w:val="000000"/>
          <w:sz w:val="24"/>
        </w:rPr>
        <w:t>。</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四、职业面向</w:t>
      </w:r>
    </w:p>
    <w:tbl>
      <w:tblPr>
        <w:tblStyle w:val="6"/>
        <w:tblW w:w="101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1050"/>
        <w:gridCol w:w="1507"/>
        <w:gridCol w:w="1593"/>
        <w:gridCol w:w="2376"/>
        <w:gridCol w:w="2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95"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所属专</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业大类</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（代码）</w:t>
            </w:r>
          </w:p>
        </w:tc>
        <w:tc>
          <w:tcPr>
            <w:tcW w:w="1050"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所属专业类</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（代码）</w:t>
            </w:r>
          </w:p>
        </w:tc>
        <w:tc>
          <w:tcPr>
            <w:tcW w:w="1507"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对应</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行业</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（代码）</w:t>
            </w:r>
          </w:p>
        </w:tc>
        <w:tc>
          <w:tcPr>
            <w:tcW w:w="1593"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主要职业类别</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（代码）</w:t>
            </w:r>
          </w:p>
        </w:tc>
        <w:tc>
          <w:tcPr>
            <w:tcW w:w="2376"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主要岗位类别</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（或技术领域）</w:t>
            </w:r>
          </w:p>
        </w:tc>
        <w:tc>
          <w:tcPr>
            <w:tcW w:w="2017"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电子信息大类（61）</w:t>
            </w:r>
          </w:p>
        </w:tc>
        <w:tc>
          <w:tcPr>
            <w:tcW w:w="1050"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计算机（6102）</w:t>
            </w:r>
          </w:p>
        </w:tc>
        <w:tc>
          <w:tcPr>
            <w:tcW w:w="1507" w:type="dxa"/>
            <w:vAlign w:val="center"/>
          </w:tcPr>
          <w:p>
            <w:pPr>
              <w:tabs>
                <w:tab w:val="left" w:pos="420"/>
              </w:tabs>
              <w:spacing w:line="360" w:lineRule="auto"/>
              <w:jc w:val="center"/>
              <w:rPr>
                <w:rFonts w:ascii="仿宋_GB2312" w:hAnsi="仿宋" w:eastAsia="仿宋_GB2312"/>
                <w:color w:val="000000"/>
                <w:szCs w:val="21"/>
              </w:rPr>
            </w:pPr>
            <w:r>
              <w:rPr>
                <w:rFonts w:ascii="仿宋_GB2312" w:hAnsi="仿宋" w:eastAsia="仿宋_GB2312"/>
                <w:color w:val="000000"/>
                <w:szCs w:val="21"/>
              </w:rPr>
              <w:t>数字内容服务（6572）</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软件和信息技术服务（65）；</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广播、电视、电影和影视录音制作（87）</w:t>
            </w:r>
          </w:p>
        </w:tc>
        <w:tc>
          <w:tcPr>
            <w:tcW w:w="1593"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动画制作人员（4-13-02-02）</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数字媒体艺术专业人员（2-09-06-07）剪辑师（2-09-03-06）</w:t>
            </w:r>
          </w:p>
          <w:p>
            <w:pPr>
              <w:tabs>
                <w:tab w:val="left" w:pos="420"/>
              </w:tabs>
              <w:spacing w:line="360" w:lineRule="auto"/>
              <w:jc w:val="center"/>
              <w:rPr>
                <w:rFonts w:ascii="仿宋_GB2312" w:hAnsi="仿宋" w:eastAsia="仿宋_GB2312"/>
                <w:color w:val="000000"/>
                <w:szCs w:val="21"/>
              </w:rPr>
            </w:pPr>
          </w:p>
        </w:tc>
        <w:tc>
          <w:tcPr>
            <w:tcW w:w="2376"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内容编辑</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视觉设计师</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UI设计师</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创意设计师</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非线性编辑</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动画设计</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室内家居设计</w:t>
            </w:r>
          </w:p>
        </w:tc>
        <w:tc>
          <w:tcPr>
            <w:tcW w:w="2017"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全国计算机等级考试</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ACAA高级影视动画设计师（影视后期）</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ACAA高级视觉设计师（平面设计）</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ACAA高级环境艺术设计师（室内设计）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38" w:type="dxa"/>
            <w:gridSpan w:val="6"/>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就业企业举例：天津中教高科科技有限公司，立芳传媒、图文广告公司</w:t>
            </w:r>
          </w:p>
        </w:tc>
      </w:tr>
    </w:tbl>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五、培养目标与培养规格</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（一）培养目标</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本专业培养思想政治坚定、德技并修、全面发展，适应新媒体艺术创作、网络多媒体制作、平面广告设计、人像产品等商业摄影、影视片拍摄与后期制作、影视动画、大众传媒、房地产等行业工作需要，具有与本专业未来工作岗位相适应的职业道德和职业素质，具有良好敬业和团队合作精神，掌握平面及动画广告设计、数字图形图像处理、广播影视动画设计、影视后期处理、电子出版物制作、建筑及家居效果设计等知识和技术技能，面向平面设计行业、数字影视传媒行业、互联网行业等领域的高素质劳动者和技术技能人才。</w:t>
      </w:r>
    </w:p>
    <w:p>
      <w:pPr>
        <w:tabs>
          <w:tab w:val="left" w:pos="420"/>
        </w:tabs>
        <w:spacing w:line="360" w:lineRule="auto"/>
        <w:ind w:firstLine="482" w:firstLineChars="200"/>
        <w:rPr>
          <w:rFonts w:ascii="仿宋_GB2312" w:hAnsi="仿宋" w:eastAsia="仿宋_GB2312"/>
          <w:b/>
          <w:bCs/>
          <w:color w:val="000000"/>
          <w:sz w:val="24"/>
        </w:rPr>
      </w:pPr>
      <w:r>
        <w:rPr>
          <w:rFonts w:hint="eastAsia" w:ascii="仿宋_GB2312" w:hAnsi="仿宋" w:eastAsia="仿宋_GB2312"/>
          <w:b/>
          <w:bCs/>
          <w:color w:val="000000"/>
          <w:sz w:val="24"/>
        </w:rPr>
        <w:t>（二）培养规格</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1.素质</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1）具有正确的世界观、人生观、价值观。坚决拥护中国共产党领导，树立中国特色社会主义共同理想，践行社会主义核心价值观，具有深厚的爱国情感、国家认同感、中华民族自豪感；崇尚宪法、遵守法律、遵规守纪；具有社会责任感和参与意识。</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2）具有良好的职业道德和职业素养。崇德向善、诚实守信、爱岗敬业，具有精益求精的工匠精神；尊重劳动、热爱劳动，具有较强的实践能力；具有质量意识、绿色环保意识、安全意识、信息素养、创新精神；具有较强的集体意识和团队合作精神，能够进行有效的人际沟通和协作，与社会、自然和谐共处；具有职业生涯规划意识。</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3）具有良好的身心素质和人文素养。具有健康的体魄和心理、健全的人格，能够掌握基本运动知识和一两项运动技能；具有感受美、表现美、鉴赏美、创造美的能力，具有一定的审美和人文素养，能够形成一两项艺术特长或爱好；掌握一定的学习方法，具有良好的生活习惯、行为习惯和自我管理能力。</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2.知识</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（1）具有计算机组装与软硬件的安装、维护，掌握常用操作系统和常规办公应用软件的使用的基本操作技能；</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（2）具备阅读、理解计算机软硬件英文文档所必备的英语知识，掌握平面广告设计、数码照片艺术化处理、动画设计与制作、网页界面设计与美化的相关知识；</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（3）具备较强的素描绘画与色彩搭配能力；</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（4）掌握数字摄影摄像的拍摄、处理、合成、灯光、色彩、特效及素材的采集、剪辑、加工制作的基本知识；</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（5）掌握三维动画制作的原理以及建模、灯光、材质、摄像机、动画、视频特效的制作流程和基本知识；</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（6）掌握数字音视频的格式转换、非线性编辑、后期合成和输出的基本知识；</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（7）掌握二三维绘图、编辑命令，格式设置，文字、尺寸标注，轴测图和尺寸调整，能够看懂图纸，绘制网络工程图、电路图、建筑平面图；</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（8）掌握图形设计与制作、图形图像处理的基本知识；</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（9）掌握较宽厚的专业基础、专业技能知识与技巧，并具备通过短期培训可从事相近专业工作的能力；</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3.能力</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（1）具有较强的语言文字表达能力、独立学习和解决问题的能力</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（2）具有查找资料、文献等获取信息的能力；与人沟通的能力；团队合作能力；公共关系处理能力和劳动组织能力；</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（3）具有计算机应用基础操作能力，图形图像处理的设计、输入输出和制作能力，图形设计与制作能力；</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4）具有数字摄影摄像能力，网页制作的策划、布局设计、版式设计和制作能力，综合运用剪辑及调色相关软件进行数字音视频的拍摄、剪辑、特技与合成能力，二、三维动画的场景设计、动画合成和输出的能力；</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（5）具有综合运用所学进行影视包装制作、视频拍摄及后期制作的能力；</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（6）具有综合运用AI、PS、CAD等软件进行修图、绘图、抠图、影视前期制作的能力；</w:t>
      </w:r>
    </w:p>
    <w:p>
      <w:pPr>
        <w:widowControl/>
        <w:spacing w:line="360" w:lineRule="auto"/>
        <w:ind w:firstLine="643"/>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（7）创新能力：具有适用数字媒体技术更新和适应新环境的能力，具有建筑效果图设计和制作能力，数字影视创作能力，数字动画创作能力</w:t>
      </w:r>
    </w:p>
    <w:p>
      <w:pPr>
        <w:widowControl/>
        <w:spacing w:line="360" w:lineRule="auto"/>
        <w:ind w:firstLine="482" w:firstLineChars="200"/>
        <w:jc w:val="left"/>
        <w:rPr>
          <w:rFonts w:ascii="仿宋" w:hAnsi="仿宋" w:eastAsia="仿宋"/>
          <w:b/>
          <w:color w:val="000000"/>
          <w:sz w:val="24"/>
        </w:rPr>
      </w:pPr>
      <w:r>
        <w:rPr>
          <w:rFonts w:hint="eastAsia" w:ascii="仿宋_GB2312" w:hAnsi="仿宋" w:eastAsia="仿宋_GB2312"/>
          <w:b/>
          <w:color w:val="000000"/>
          <w:sz w:val="24"/>
        </w:rPr>
        <w:t>六、</w:t>
      </w:r>
      <w:r>
        <w:rPr>
          <w:rFonts w:hint="eastAsia" w:ascii="仿宋" w:hAnsi="仿宋" w:eastAsia="仿宋"/>
          <w:b/>
          <w:color w:val="000000"/>
          <w:sz w:val="24"/>
        </w:rPr>
        <w:t>分类指导</w:t>
      </w:r>
    </w:p>
    <w:p>
      <w:pPr>
        <w:widowControl/>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（一）灵活学习方式，学生通过校内集中学习和网络学习两种方式完成学业。其中校内集中学习的时间不少于本专业总学时的40%，为学生灵活选择来校上课学习时间留有选择空间。</w:t>
      </w:r>
    </w:p>
    <w:p>
      <w:pPr>
        <w:widowControl/>
        <w:spacing w:line="360" w:lineRule="auto"/>
        <w:ind w:firstLine="480" w:firstLineChars="200"/>
        <w:jc w:val="left"/>
        <w:rPr>
          <w:rFonts w:ascii="仿宋_GB2312" w:hAnsi="仿宋" w:eastAsia="仿宋_GB2312"/>
          <w:b/>
          <w:color w:val="000000"/>
          <w:sz w:val="24"/>
        </w:rPr>
      </w:pPr>
      <w:r>
        <w:rPr>
          <w:rFonts w:hint="eastAsia" w:ascii="仿宋" w:hAnsi="仿宋" w:eastAsia="仿宋"/>
          <w:color w:val="000000"/>
          <w:sz w:val="24"/>
        </w:rPr>
        <w:t>（二）课程、学分置换，学生已有工作经历、相关培训经历、技术技能达到一定水平及在相关领域获得一定级别的奖项或荣誉称号的，经系内认定后可折算成相应学分或免修相应</w:t>
      </w:r>
      <w:r>
        <w:rPr>
          <w:rFonts w:ascii="仿宋" w:hAnsi="仿宋" w:eastAsia="仿宋"/>
          <w:color w:val="000000"/>
          <w:sz w:val="24"/>
        </w:rPr>
        <w:t>课程</w:t>
      </w:r>
      <w:r>
        <w:rPr>
          <w:rFonts w:hint="eastAsia" w:ascii="仿宋" w:hAnsi="仿宋" w:eastAsia="仿宋"/>
          <w:color w:val="000000"/>
          <w:sz w:val="24"/>
        </w:rPr>
        <w:t>。</w:t>
      </w:r>
    </w:p>
    <w:p>
      <w:pPr>
        <w:widowControl/>
        <w:spacing w:line="360" w:lineRule="auto"/>
        <w:ind w:firstLine="482" w:firstLineChars="200"/>
        <w:jc w:val="left"/>
        <w:rPr>
          <w:rFonts w:ascii="仿宋_GB2312" w:hAnsi="仿宋" w:eastAsia="仿宋_GB2312"/>
          <w:b/>
          <w:color w:val="000000"/>
          <w:sz w:val="24"/>
        </w:rPr>
      </w:pPr>
      <w:r>
        <w:rPr>
          <w:rFonts w:hint="eastAsia" w:ascii="仿宋_GB2312" w:hAnsi="仿宋" w:eastAsia="仿宋_GB2312"/>
          <w:b/>
          <w:color w:val="000000"/>
          <w:sz w:val="24"/>
        </w:rPr>
        <w:t>七、课程设置</w:t>
      </w:r>
    </w:p>
    <w:p>
      <w:pPr>
        <w:widowControl/>
        <w:spacing w:line="360" w:lineRule="auto"/>
        <w:ind w:firstLine="482" w:firstLineChars="200"/>
        <w:jc w:val="left"/>
        <w:rPr>
          <w:rFonts w:ascii="仿宋_GB2312" w:hAnsi="仿宋" w:eastAsia="仿宋_GB2312"/>
          <w:b/>
          <w:color w:val="000000"/>
          <w:sz w:val="24"/>
        </w:rPr>
      </w:pPr>
      <w:r>
        <w:rPr>
          <w:rFonts w:hint="eastAsia" w:ascii="仿宋_GB2312" w:hAnsi="仿宋" w:eastAsia="仿宋_GB2312"/>
          <w:b/>
          <w:color w:val="000000"/>
          <w:sz w:val="24"/>
        </w:rPr>
        <w:t>（一）公共基础课程（4</w:t>
      </w:r>
      <w:r>
        <w:rPr>
          <w:rFonts w:ascii="仿宋_GB2312" w:hAnsi="仿宋" w:eastAsia="仿宋_GB2312"/>
          <w:b/>
          <w:color w:val="000000"/>
          <w:sz w:val="24"/>
        </w:rPr>
        <w:t>2</w:t>
      </w:r>
      <w:r>
        <w:rPr>
          <w:rFonts w:hint="eastAsia" w:ascii="仿宋_GB2312" w:hAnsi="仿宋" w:eastAsia="仿宋_GB2312"/>
          <w:b/>
          <w:color w:val="000000"/>
          <w:sz w:val="24"/>
        </w:rPr>
        <w:t>学分）</w:t>
      </w:r>
    </w:p>
    <w:p>
      <w:pPr>
        <w:widowControl/>
        <w:spacing w:line="360" w:lineRule="auto"/>
        <w:ind w:firstLine="482" w:firstLineChars="200"/>
        <w:jc w:val="left"/>
        <w:rPr>
          <w:rFonts w:ascii="仿宋_GB2312" w:hAnsi="仿宋" w:eastAsia="仿宋_GB2312"/>
          <w:b/>
          <w:color w:val="000000"/>
          <w:sz w:val="24"/>
        </w:rPr>
      </w:pPr>
      <w:r>
        <w:rPr>
          <w:rFonts w:hint="eastAsia" w:ascii="仿宋_GB2312" w:hAnsi="仿宋" w:eastAsia="仿宋_GB2312"/>
          <w:b/>
          <w:color w:val="000000"/>
          <w:sz w:val="24"/>
        </w:rPr>
        <w:t>1</w:t>
      </w:r>
      <w:r>
        <w:rPr>
          <w:rFonts w:ascii="仿宋_GB2312" w:hAnsi="仿宋" w:eastAsia="仿宋_GB2312"/>
          <w:b/>
          <w:color w:val="000000"/>
          <w:sz w:val="24"/>
        </w:rPr>
        <w:t>.</w:t>
      </w:r>
      <w:r>
        <w:rPr>
          <w:rFonts w:hint="eastAsia" w:ascii="仿宋_GB2312" w:hAnsi="仿宋" w:eastAsia="仿宋_GB2312"/>
          <w:b/>
          <w:color w:val="000000"/>
          <w:sz w:val="24"/>
        </w:rPr>
        <w:t>公共必修课（3</w:t>
      </w:r>
      <w:r>
        <w:rPr>
          <w:rFonts w:ascii="仿宋_GB2312" w:hAnsi="仿宋" w:eastAsia="仿宋_GB2312"/>
          <w:b/>
          <w:color w:val="000000"/>
          <w:sz w:val="24"/>
        </w:rPr>
        <w:t>4</w:t>
      </w:r>
      <w:r>
        <w:rPr>
          <w:rFonts w:hint="eastAsia" w:ascii="仿宋_GB2312" w:hAnsi="仿宋" w:eastAsia="仿宋_GB2312"/>
          <w:b/>
          <w:color w:val="000000"/>
          <w:sz w:val="24"/>
        </w:rPr>
        <w:t>学分）</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（1）军训(08301)：60学时（2周），2学分，考查课，</w:t>
      </w:r>
      <w:r>
        <w:rPr>
          <w:rFonts w:ascii="仿宋_GB2312" w:hAnsi="仿宋" w:eastAsia="仿宋_GB2312"/>
          <w:color w:val="000000"/>
          <w:sz w:val="24"/>
        </w:rPr>
        <w:t>由学校统一组织军训，</w:t>
      </w:r>
      <w:r>
        <w:rPr>
          <w:rFonts w:hint="eastAsia" w:ascii="仿宋_GB2312" w:hAnsi="仿宋" w:eastAsia="仿宋_GB2312"/>
          <w:color w:val="000000"/>
          <w:sz w:val="24"/>
        </w:rPr>
        <w:t>各系</w:t>
      </w:r>
      <w:r>
        <w:rPr>
          <w:rFonts w:ascii="仿宋_GB2312" w:hAnsi="仿宋" w:eastAsia="仿宋_GB2312"/>
          <w:color w:val="000000"/>
          <w:sz w:val="24"/>
        </w:rPr>
        <w:t>进行成绩评定和学分认定</w:t>
      </w:r>
      <w:r>
        <w:rPr>
          <w:rFonts w:hint="eastAsia" w:ascii="仿宋_GB2312" w:hAnsi="仿宋" w:eastAsia="仿宋_GB2312"/>
          <w:color w:val="000000"/>
          <w:sz w:val="24"/>
        </w:rPr>
        <w:t>。</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（2）军事理论(08106)：36学时，2学分，考查课。</w:t>
      </w:r>
      <w:bookmarkStart w:id="0" w:name="_Hlk40137830"/>
    </w:p>
    <w:bookmarkEnd w:id="0"/>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课程目标：通过该课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pPr>
        <w:spacing w:line="360" w:lineRule="auto"/>
        <w:ind w:firstLine="480" w:firstLineChars="200"/>
        <w:rPr>
          <w:rFonts w:ascii="仿宋" w:hAnsi="仿宋" w:eastAsia="仿宋" w:cs="仿宋"/>
          <w:color w:val="000000"/>
          <w:sz w:val="24"/>
        </w:rPr>
      </w:pPr>
      <w:r>
        <w:rPr>
          <w:rFonts w:hint="eastAsia" w:ascii="仿宋_GB2312" w:hAnsi="仿宋" w:eastAsia="仿宋_GB2312"/>
          <w:color w:val="000000"/>
          <w:sz w:val="24"/>
        </w:rPr>
        <w:t>主要</w:t>
      </w:r>
      <w:r>
        <w:rPr>
          <w:rFonts w:hint="eastAsia" w:ascii="仿宋" w:hAnsi="仿宋" w:eastAsia="仿宋" w:cs="仿宋"/>
          <w:color w:val="000000"/>
          <w:sz w:val="24"/>
        </w:rPr>
        <w:t>内容：军事理论课，主要由中国国防，国家安全，军事思想，现代战争，信息化装备，共同条令教育与训练，射击与战术训练，防卫技能与战时防护训练，战备基础与应用训练等内容组成。</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教学要求：强调时代性、科学性、知识性和准确性，主要采用理论教学与实践教学相结合的教学模式，传统与创新相融合。理论教学中，以理论讲授法为主，可适时采用案例教学法、视频学习法、情境教学法、体验式教学法等多种教学方法，提升学生传承我军优良传统和红色基因的能力，帮助大学生树立居安思危、奋发进取、自强不息的民族精神。</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（3）思想道德修养与法律基础（</w:t>
      </w:r>
      <w:r>
        <w:rPr>
          <w:rFonts w:ascii="仿宋" w:hAnsi="仿宋" w:eastAsia="仿宋" w:cs="仿宋"/>
          <w:color w:val="000000"/>
          <w:sz w:val="24"/>
        </w:rPr>
        <w:t>08101</w:t>
      </w:r>
      <w:r>
        <w:rPr>
          <w:rFonts w:hint="eastAsia" w:ascii="仿宋" w:hAnsi="仿宋" w:eastAsia="仿宋" w:cs="仿宋"/>
          <w:color w:val="000000"/>
          <w:sz w:val="24"/>
        </w:rPr>
        <w:t>）：</w:t>
      </w:r>
      <w:r>
        <w:rPr>
          <w:rFonts w:ascii="仿宋" w:hAnsi="仿宋" w:eastAsia="仿宋" w:cs="仿宋"/>
          <w:color w:val="000000"/>
          <w:sz w:val="24"/>
        </w:rPr>
        <w:t>54</w:t>
      </w:r>
      <w:r>
        <w:rPr>
          <w:rFonts w:hint="eastAsia" w:ascii="仿宋" w:hAnsi="仿宋" w:eastAsia="仿宋" w:cs="仿宋"/>
          <w:color w:val="000000"/>
          <w:sz w:val="24"/>
        </w:rPr>
        <w:t>学时，</w:t>
      </w:r>
      <w:r>
        <w:rPr>
          <w:rFonts w:ascii="仿宋" w:hAnsi="仿宋" w:eastAsia="仿宋" w:cs="仿宋"/>
          <w:color w:val="000000"/>
          <w:sz w:val="24"/>
        </w:rPr>
        <w:t>3</w:t>
      </w:r>
      <w:r>
        <w:rPr>
          <w:rFonts w:hint="eastAsia" w:ascii="仿宋" w:hAnsi="仿宋" w:eastAsia="仿宋" w:cs="仿宋"/>
          <w:color w:val="000000"/>
          <w:sz w:val="24"/>
        </w:rPr>
        <w:t>学分，考试课。</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课程目标：通过本课程的学习，学生能够尽快适应大学生活，领悟人生真谛，坚定理想信念，践行社会主义核心价值观，做新时代的忠诚爱国者和改革创新的生力军；形成正确的道德认知，积极投身道德实践，做到明大德、守公德、严私德；增进法治意识，养成法治思维，做到尊法学法守法用法，从而具备优秀的思想道德素质和法治素质，成长为全面发展的社会主义事业的合格建设者和可靠接班人。</w:t>
      </w:r>
    </w:p>
    <w:p>
      <w:pPr>
        <w:spacing w:line="360" w:lineRule="auto"/>
        <w:ind w:firstLine="480" w:firstLineChars="200"/>
        <w:rPr>
          <w:rFonts w:ascii="仿宋" w:hAnsi="仿宋" w:eastAsia="仿宋" w:cs="仿宋"/>
          <w:color w:val="000000"/>
          <w:sz w:val="24"/>
        </w:rPr>
      </w:pPr>
      <w:r>
        <w:rPr>
          <w:rFonts w:hint="eastAsia" w:ascii="仿宋_GB2312" w:hAnsi="仿宋" w:eastAsia="仿宋_GB2312"/>
          <w:color w:val="000000"/>
          <w:sz w:val="24"/>
        </w:rPr>
        <w:t>主要</w:t>
      </w:r>
      <w:r>
        <w:rPr>
          <w:rFonts w:hint="eastAsia" w:ascii="仿宋" w:hAnsi="仿宋" w:eastAsia="仿宋" w:cs="仿宋"/>
          <w:color w:val="000000"/>
          <w:sz w:val="24"/>
        </w:rPr>
        <w:t>内容：人生观涵义及正确的人生观，创造有意义的人生，理想信念的内涵及重要性，崇高的理想信念，在实现中国梦的实践中放飞中国梦想，中国精神是兴国强国之魂，爱国主义及其时代要求，做改革创新生力军，践行社会主义核心价值观，遵守公民道德成果，向上向善、知行合一，培养法治思维，依法行使权力与履行义务。</w:t>
      </w:r>
    </w:p>
    <w:p>
      <w:pPr>
        <w:spacing w:line="360" w:lineRule="auto"/>
        <w:ind w:firstLine="480" w:firstLineChars="200"/>
        <w:rPr>
          <w:rFonts w:ascii="仿宋" w:hAnsi="仿宋" w:eastAsia="仿宋" w:cs="仿宋"/>
          <w:b/>
          <w:color w:val="000000"/>
          <w:sz w:val="24"/>
        </w:rPr>
      </w:pPr>
      <w:r>
        <w:rPr>
          <w:rFonts w:hint="eastAsia" w:ascii="仿宋" w:hAnsi="仿宋" w:eastAsia="仿宋" w:cs="仿宋"/>
          <w:color w:val="000000"/>
          <w:sz w:val="24"/>
        </w:rPr>
        <w:t>教学要求：强调时代性、科学性、知识性和准确性，根据学情分析和教学内容特征，可依托信息化教学平台，主要采用理论教学与实践教学相结合的教学模式。理论教学中，以理论讲授法为主，可适时采用案例教学法、视频学习法、情境教学法、体验式教学法等多种教学方法，提升学生运用知识分析和解决实际问题的能力。实践教学方面，丰富大作业的形式，让学生具有体验感、代入感、亲切感地完成相关成果，鼓励将本门课程与专业课相结合地去完成实践。</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（4）毛泽东思想和中国特色社会主义理论体系概论（</w:t>
      </w:r>
      <w:r>
        <w:rPr>
          <w:rFonts w:ascii="仿宋" w:hAnsi="仿宋" w:eastAsia="仿宋" w:cs="仿宋"/>
          <w:color w:val="000000"/>
          <w:sz w:val="24"/>
        </w:rPr>
        <w:t>08102</w:t>
      </w:r>
      <w:r>
        <w:rPr>
          <w:rFonts w:hint="eastAsia" w:ascii="仿宋" w:hAnsi="仿宋" w:eastAsia="仿宋" w:cs="仿宋"/>
          <w:color w:val="000000"/>
          <w:sz w:val="24"/>
        </w:rPr>
        <w:t>）：</w:t>
      </w:r>
      <w:r>
        <w:rPr>
          <w:rFonts w:ascii="仿宋" w:hAnsi="仿宋" w:eastAsia="仿宋" w:cs="仿宋"/>
          <w:color w:val="000000"/>
          <w:sz w:val="24"/>
        </w:rPr>
        <w:t>72</w:t>
      </w:r>
      <w:r>
        <w:rPr>
          <w:rFonts w:hint="eastAsia" w:ascii="仿宋" w:hAnsi="仿宋" w:eastAsia="仿宋" w:cs="仿宋"/>
          <w:color w:val="000000"/>
          <w:sz w:val="24"/>
        </w:rPr>
        <w:t>学时，</w:t>
      </w:r>
      <w:r>
        <w:rPr>
          <w:rFonts w:ascii="仿宋" w:hAnsi="仿宋" w:eastAsia="仿宋" w:cs="仿宋"/>
          <w:color w:val="000000"/>
          <w:sz w:val="24"/>
        </w:rPr>
        <w:t>4</w:t>
      </w:r>
      <w:r>
        <w:rPr>
          <w:rFonts w:hint="eastAsia" w:ascii="仿宋" w:hAnsi="仿宋" w:eastAsia="仿宋" w:cs="仿宋"/>
          <w:color w:val="000000"/>
          <w:sz w:val="24"/>
        </w:rPr>
        <w:t>学分，考试课。</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课程目标：通过该课程的学习，使学生更加准确地把握马克思主义中国化进程中形成的理论成果；更加深刻地认识中国共产党领导人民进行的革命、</w:t>
      </w:r>
      <w:r>
        <w:rPr>
          <w:rFonts w:ascii="仿宋" w:hAnsi="仿宋" w:eastAsia="仿宋" w:cs="仿宋"/>
          <w:color w:val="000000"/>
          <w:sz w:val="24"/>
        </w:rPr>
        <w:t xml:space="preserve"> </w:t>
      </w:r>
      <w:r>
        <w:rPr>
          <w:rFonts w:hint="eastAsia" w:ascii="仿宋" w:hAnsi="仿宋" w:eastAsia="仿宋" w:cs="仿宋"/>
          <w:color w:val="000000"/>
          <w:sz w:val="24"/>
        </w:rPr>
        <w:t>建设、改革的历史进程、历史变革、历史成就；更加透彻地理解中国共产党在新时代坚持的基本理论、基本路线、基本方略；更加切实地帮助学生运用马克思主义立场、观点和方法认识问题、分析问题和解决问题能力的提升。通过本课程的学习，帮助大学生树立正确的政治方向，坚持正确的政治立场；解决大学生的“信仰”、“信念”、“信心”、“信任”等“四信”教育的问题，即通过教学，使大学生树立马克思主义的科学信仰，坚定走中国特色社会主义道路的信念，坚定实现中华民族伟大复兴的信心和建立对党和政府的信任，为终身发展奠定思想政治素质基础，帮助大学生树立正确的世界观、人生观、价值观，树立中国特色社会主义的共同理想。使学生达到对社会主流意识形态的认同，进而激发出为中国特色社会主义建设做贡献的积极性、主动性和创造性。</w:t>
      </w:r>
    </w:p>
    <w:p>
      <w:pPr>
        <w:spacing w:line="360" w:lineRule="auto"/>
        <w:ind w:firstLine="480" w:firstLineChars="200"/>
        <w:rPr>
          <w:rFonts w:ascii="仿宋" w:hAnsi="仿宋" w:eastAsia="仿宋" w:cs="仿宋"/>
          <w:color w:val="000000"/>
          <w:sz w:val="24"/>
        </w:rPr>
      </w:pPr>
      <w:r>
        <w:rPr>
          <w:rFonts w:hint="eastAsia" w:ascii="仿宋_GB2312" w:hAnsi="仿宋" w:eastAsia="仿宋_GB2312"/>
          <w:color w:val="000000"/>
          <w:sz w:val="24"/>
        </w:rPr>
        <w:t>主要</w:t>
      </w:r>
      <w:r>
        <w:rPr>
          <w:rFonts w:hint="eastAsia" w:ascii="仿宋" w:hAnsi="仿宋" w:eastAsia="仿宋" w:cs="仿宋"/>
          <w:color w:val="000000"/>
          <w:sz w:val="24"/>
        </w:rPr>
        <w:t>内容：本课程以马克思主义中国化为主线，集中阐述马克思主义中国化理论成果的主要内容、精神实质、历史地位和指导意义，充分反映中国共产党不断推进马克思主义基本原理与中国具体实际相结合的历史进程和基本经验；以马克思主义中国化最新成果为重点，全面把握中国特色社会主义进入新时代，系统阐释习近平新进代中国特色社会主义思想的主要内容和历史地位，充分反映建设社会主义现代化强国的战略部署。主要内容包括：毛泽东思想及其历史地位；新民主主义革命理论；社会主义改造理论；社会主义建设道路探索的理论成果；邓小平理论；“三个代表”重要思想；科学发展观；习近平新时代中国特色社会主义思想及其历史地位；坚持和发展中国特色社会主义总任务；“五位一体”的总体布局；“四个全面”的战略布局；全面推进国防和军队现代化；中国特色大国外交；坚持和加强党的领导。</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教学要求：强调时代性、科学性、知识性和准确性，根据学情分析和教学内容特征，可依托信息化教学平台，主要采用理论教学与实践教学相结合的教学模式。理论教学中，以理论讲授法为主，可适时采用案例教学法、视频学习法、情境教学法、体验式教学法等多种教学方法，提升学生运用知识分析和解决实际问题的能力。实践教学方面，结合讨论法、社会调查法，丰富大作业的内容形式，让学生具有体验感、代入感、亲切感地完成相关作业。要求学生努力掌握基本理论；坚持理论联系实际；培养理论思考习惯。</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（5）形势与政策（</w:t>
      </w:r>
      <w:r>
        <w:rPr>
          <w:rFonts w:ascii="仿宋" w:hAnsi="仿宋" w:eastAsia="仿宋" w:cs="仿宋"/>
          <w:color w:val="000000"/>
          <w:sz w:val="24"/>
        </w:rPr>
        <w:t>08103</w:t>
      </w:r>
      <w:r>
        <w:rPr>
          <w:rFonts w:hint="eastAsia" w:ascii="仿宋" w:hAnsi="仿宋" w:eastAsia="仿宋" w:cs="仿宋"/>
          <w:color w:val="000000"/>
          <w:sz w:val="24"/>
        </w:rPr>
        <w:t>）：</w:t>
      </w:r>
      <w:r>
        <w:rPr>
          <w:rFonts w:ascii="仿宋" w:hAnsi="仿宋" w:eastAsia="仿宋" w:cs="仿宋"/>
          <w:color w:val="000000"/>
          <w:sz w:val="24"/>
        </w:rPr>
        <w:t>36</w:t>
      </w:r>
      <w:r>
        <w:rPr>
          <w:rFonts w:hint="eastAsia" w:ascii="仿宋" w:hAnsi="仿宋" w:eastAsia="仿宋" w:cs="仿宋"/>
          <w:color w:val="000000"/>
          <w:sz w:val="24"/>
        </w:rPr>
        <w:t>学时，</w:t>
      </w:r>
      <w:r>
        <w:rPr>
          <w:rFonts w:ascii="仿宋" w:hAnsi="仿宋" w:eastAsia="仿宋" w:cs="仿宋"/>
          <w:color w:val="000000"/>
          <w:sz w:val="24"/>
        </w:rPr>
        <w:t>2</w:t>
      </w:r>
      <w:r>
        <w:rPr>
          <w:rFonts w:hint="eastAsia" w:ascii="仿宋" w:hAnsi="仿宋" w:eastAsia="仿宋" w:cs="仿宋"/>
          <w:color w:val="000000"/>
          <w:sz w:val="24"/>
        </w:rPr>
        <w:t>学分，考查课。</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课程目标：通过该课程学习，使学生深入学习贯彻习近平新时代中国特色社会主义思想特别是习近平总书记最新重要讲话精神，深入贯彻党的十九大精神，全面推动党的创新理论深入头脑。通过学习，使学生们紧紧围绕学习贯彻习近平新时代中国特色社会主义思想这个首要任务，通过学习全面从严治党、我国经济社会发展、港澳台工作、国际形势与政策四个专题，使学生了解我国经济运行的总体态势、独特战略优势和当前形势变化，引导学生增强“四个意识”，坚定“四个自信”，做到“两个维护”，切实把思想和行动统一到以习近平同志为核心的党中央决策部署上来，树立信心，自觉做爱国、励志、力行的新时代大学生，更加发奋学习，努力成为担当民族复兴大任的时代新人，成为德智体美劳全面发展的社会主义建设者和接班人。</w:t>
      </w:r>
      <w:r>
        <w:rPr>
          <w:rFonts w:ascii="仿宋" w:hAnsi="仿宋" w:eastAsia="仿宋" w:cs="仿宋"/>
          <w:color w:val="000000"/>
          <w:sz w:val="24"/>
        </w:rPr>
        <w:t></w:t>
      </w:r>
    </w:p>
    <w:p>
      <w:pPr>
        <w:spacing w:line="360" w:lineRule="auto"/>
        <w:ind w:firstLine="480" w:firstLineChars="200"/>
        <w:rPr>
          <w:rFonts w:ascii="仿宋" w:hAnsi="仿宋" w:eastAsia="仿宋" w:cs="仿宋"/>
          <w:color w:val="000000"/>
          <w:sz w:val="24"/>
        </w:rPr>
      </w:pPr>
      <w:r>
        <w:rPr>
          <w:rFonts w:hint="eastAsia" w:ascii="仿宋_GB2312" w:hAnsi="仿宋" w:eastAsia="仿宋_GB2312"/>
          <w:color w:val="000000"/>
          <w:sz w:val="24"/>
        </w:rPr>
        <w:t>主要</w:t>
      </w:r>
      <w:r>
        <w:rPr>
          <w:rFonts w:hint="eastAsia" w:ascii="仿宋" w:hAnsi="仿宋" w:eastAsia="仿宋" w:cs="仿宋"/>
          <w:color w:val="000000"/>
          <w:sz w:val="24"/>
        </w:rPr>
        <w:t>内容：新时代高校形势政策课，要紧紧围绕学习贯彻习近平新时代中国特色社会主义思想这个首要任务，课程内容主要是围绕全面从严治党、我国经济社会发展、港澳台工作、国际形势与政策四个专题进行学习，引导学生树牢“四个意识”，坚定“四个自信”，做到“两个维护”，在政治立场、政治方向、政治原则、政治道路上同以习近平同志为核心的党中央保持高度一致，努力成为德智体美劳全面发展的社会主义建设者和接班人。</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教学要求：以理论讲授法为主，可适时采用讨论法、社会调查法、案例教学法、视频学习法等多种教学方法相结合，增强学习兴趣，提升学生理论联系实际的能力。使学生加深全面加强党的领导，全面从严治党理论的理解。使学生全面正确认识党和国家面临的形势和任务，正确认识国情，理解党的路线、方针和政策，增强学生的爱国主义责任感和使命感，不断提高学生的爱国主义和社会主义觉悟。</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（6）民族理论与民族政策（</w:t>
      </w:r>
      <w:r>
        <w:rPr>
          <w:rFonts w:ascii="仿宋" w:hAnsi="仿宋" w:eastAsia="仿宋" w:cs="仿宋"/>
          <w:color w:val="000000"/>
          <w:sz w:val="24"/>
        </w:rPr>
        <w:t>08105</w:t>
      </w:r>
      <w:r>
        <w:rPr>
          <w:rFonts w:hint="eastAsia" w:ascii="仿宋" w:hAnsi="仿宋" w:eastAsia="仿宋" w:cs="仿宋"/>
          <w:color w:val="000000"/>
          <w:sz w:val="24"/>
        </w:rPr>
        <w:t>）：</w:t>
      </w:r>
      <w:r>
        <w:rPr>
          <w:rFonts w:ascii="仿宋" w:hAnsi="仿宋" w:eastAsia="仿宋" w:cs="仿宋"/>
          <w:color w:val="000000"/>
          <w:sz w:val="24"/>
        </w:rPr>
        <w:t>18</w:t>
      </w:r>
      <w:r>
        <w:rPr>
          <w:rFonts w:hint="eastAsia" w:ascii="仿宋" w:hAnsi="仿宋" w:eastAsia="仿宋" w:cs="仿宋"/>
          <w:color w:val="000000"/>
          <w:sz w:val="24"/>
        </w:rPr>
        <w:t>学时，</w:t>
      </w:r>
      <w:r>
        <w:rPr>
          <w:rFonts w:ascii="仿宋" w:hAnsi="仿宋" w:eastAsia="仿宋" w:cs="仿宋"/>
          <w:color w:val="000000"/>
          <w:sz w:val="24"/>
        </w:rPr>
        <w:t>1</w:t>
      </w:r>
      <w:r>
        <w:rPr>
          <w:rFonts w:hint="eastAsia" w:ascii="仿宋" w:hAnsi="仿宋" w:eastAsia="仿宋" w:cs="仿宋"/>
          <w:color w:val="000000"/>
          <w:sz w:val="24"/>
        </w:rPr>
        <w:t>学分，考查课。</w:t>
      </w:r>
    </w:p>
    <w:p>
      <w:pPr>
        <w:spacing w:line="360" w:lineRule="auto"/>
        <w:ind w:firstLine="480" w:firstLineChars="200"/>
        <w:rPr>
          <w:rFonts w:ascii="仿宋" w:hAnsi="仿宋" w:eastAsia="仿宋" w:cs="仿宋"/>
          <w:b/>
          <w:color w:val="000000"/>
          <w:sz w:val="24"/>
        </w:rPr>
      </w:pPr>
      <w:r>
        <w:rPr>
          <w:rFonts w:hint="eastAsia" w:ascii="仿宋" w:hAnsi="仿宋" w:eastAsia="仿宋" w:cs="仿宋"/>
          <w:color w:val="000000"/>
          <w:sz w:val="24"/>
        </w:rPr>
        <w:t>课程目标：通过向各族青年学生进行马克思主义民族理论和党的民族政策，以及中华民族多元一体格局国情的系统教育，帮助学生树立科学的民族观、宗教观，提高学生维护祖国统一、加强民族团结，执行党的民族政策的自觉性。激发青年学生强烈的爱国主义热情，增强其对马克思主义、对中国特色社会主义道路、对中国共产党的信仰、信心、信任。增强各族学生对伟大祖国的认同、对中华民族的认同、对中华文化的认同、对中国特色社会主义道路的认同。</w:t>
      </w:r>
    </w:p>
    <w:p>
      <w:pPr>
        <w:spacing w:line="360" w:lineRule="auto"/>
        <w:ind w:firstLine="480" w:firstLineChars="200"/>
        <w:rPr>
          <w:rFonts w:ascii="仿宋" w:hAnsi="仿宋" w:eastAsia="仿宋" w:cs="仿宋"/>
          <w:b/>
          <w:color w:val="000000"/>
          <w:sz w:val="24"/>
        </w:rPr>
      </w:pPr>
      <w:r>
        <w:rPr>
          <w:rFonts w:hint="eastAsia" w:ascii="仿宋_GB2312" w:hAnsi="仿宋" w:eastAsia="仿宋_GB2312"/>
          <w:color w:val="000000"/>
          <w:sz w:val="24"/>
        </w:rPr>
        <w:t>主要</w:t>
      </w:r>
      <w:r>
        <w:rPr>
          <w:rFonts w:hint="eastAsia" w:ascii="仿宋" w:hAnsi="仿宋" w:eastAsia="仿宋" w:cs="仿宋"/>
          <w:color w:val="000000"/>
          <w:sz w:val="24"/>
        </w:rPr>
        <w:t>内容：该课程核心内容包括导论；中华民族多元一体；民族概念与民族问题；少数民族风俗文化；民族区域自治制度；加快民族地区全面发展等专题。</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教学要求：强调时代性、科学性、知识性和准确性，根据学情分析和教学内容特征，可依托信息化教学平台，主要采用理论教学与实践教学相结合的教学模式。理论教学中，以理论讲授法为主，可适时采用案例教学法、视频学习法、情境教学法、体验式教学法等多种教学方法，提升学生运用知识分析和解决实际问题的能力。</w:t>
      </w:r>
    </w:p>
    <w:p>
      <w:pPr>
        <w:spacing w:line="360" w:lineRule="auto"/>
        <w:rPr>
          <w:rFonts w:ascii="仿宋" w:hAnsi="仿宋" w:eastAsia="仿宋" w:cs="仿宋"/>
          <w:color w:val="000000"/>
          <w:sz w:val="24"/>
        </w:rPr>
      </w:pPr>
      <w:r>
        <w:rPr>
          <w:rFonts w:ascii="仿宋" w:hAnsi="仿宋" w:eastAsia="仿宋" w:cs="仿宋"/>
          <w:color w:val="000000"/>
          <w:sz w:val="24"/>
        </w:rPr>
        <w:t xml:space="preserve">   </w:t>
      </w:r>
      <w:r>
        <w:rPr>
          <w:rFonts w:hint="eastAsia" w:ascii="仿宋" w:hAnsi="仿宋" w:eastAsia="仿宋" w:cs="仿宋"/>
          <w:color w:val="000000"/>
          <w:sz w:val="24"/>
        </w:rPr>
        <w:t>（7）大学生职业生涯规划（</w:t>
      </w:r>
      <w:r>
        <w:rPr>
          <w:rFonts w:ascii="仿宋" w:hAnsi="仿宋" w:eastAsia="仿宋" w:cs="仿宋"/>
          <w:color w:val="000000"/>
          <w:sz w:val="24"/>
        </w:rPr>
        <w:t>08107</w:t>
      </w:r>
      <w:r>
        <w:rPr>
          <w:rFonts w:hint="eastAsia" w:ascii="仿宋" w:hAnsi="仿宋" w:eastAsia="仿宋" w:cs="仿宋"/>
          <w:color w:val="000000"/>
          <w:sz w:val="24"/>
        </w:rPr>
        <w:t>）：</w:t>
      </w:r>
      <w:r>
        <w:rPr>
          <w:rFonts w:ascii="仿宋" w:hAnsi="仿宋" w:eastAsia="仿宋" w:cs="仿宋"/>
          <w:color w:val="000000"/>
          <w:sz w:val="24"/>
        </w:rPr>
        <w:t>18</w:t>
      </w:r>
      <w:r>
        <w:rPr>
          <w:rFonts w:hint="eastAsia" w:ascii="仿宋" w:hAnsi="仿宋" w:eastAsia="仿宋" w:cs="仿宋"/>
          <w:color w:val="000000"/>
          <w:sz w:val="24"/>
        </w:rPr>
        <w:t>学时，</w:t>
      </w:r>
      <w:r>
        <w:rPr>
          <w:rFonts w:ascii="仿宋" w:hAnsi="仿宋" w:eastAsia="仿宋" w:cs="仿宋"/>
          <w:color w:val="000000"/>
          <w:sz w:val="24"/>
        </w:rPr>
        <w:t>1</w:t>
      </w:r>
      <w:r>
        <w:rPr>
          <w:rFonts w:hint="eastAsia" w:ascii="仿宋" w:hAnsi="仿宋" w:eastAsia="仿宋" w:cs="仿宋"/>
          <w:color w:val="000000"/>
          <w:sz w:val="24"/>
        </w:rPr>
        <w:t>学分，考查课。</w:t>
      </w:r>
    </w:p>
    <w:p>
      <w:pPr>
        <w:spacing w:line="360" w:lineRule="auto"/>
        <w:ind w:firstLine="480" w:firstLineChars="200"/>
        <w:rPr>
          <w:rFonts w:ascii="仿宋" w:hAnsi="仿宋" w:eastAsia="仿宋"/>
          <w:sz w:val="24"/>
        </w:rPr>
      </w:pPr>
      <w:r>
        <w:rPr>
          <w:rFonts w:hint="eastAsia" w:ascii="仿宋" w:hAnsi="仿宋" w:eastAsia="仿宋" w:cs="仿宋"/>
          <w:color w:val="000000"/>
          <w:sz w:val="24"/>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pPr>
        <w:spacing w:line="360" w:lineRule="auto"/>
        <w:ind w:firstLine="480" w:firstLineChars="200"/>
        <w:rPr>
          <w:rFonts w:ascii="仿宋" w:hAnsi="仿宋" w:eastAsia="仿宋" w:cs="仿宋"/>
          <w:color w:val="000000"/>
          <w:sz w:val="24"/>
        </w:rPr>
      </w:pPr>
      <w:r>
        <w:rPr>
          <w:rFonts w:hint="eastAsia" w:ascii="仿宋_GB2312" w:hAnsi="仿宋" w:eastAsia="仿宋_GB2312"/>
          <w:color w:val="000000"/>
          <w:sz w:val="24"/>
        </w:rPr>
        <w:t>主要</w:t>
      </w:r>
      <w:r>
        <w:rPr>
          <w:rFonts w:hint="eastAsia" w:ascii="仿宋" w:hAnsi="仿宋" w:eastAsia="仿宋" w:cs="仿宋"/>
          <w:color w:val="000000"/>
          <w:sz w:val="24"/>
        </w:rPr>
        <w:t>内容：该课程主要内容包括认识职业生涯规划和认知生涯规划的意义</w:t>
      </w:r>
      <w:r>
        <w:rPr>
          <w:rFonts w:ascii="仿宋" w:hAnsi="仿宋" w:eastAsia="仿宋" w:cs="仿宋"/>
          <w:color w:val="000000"/>
          <w:sz w:val="24"/>
        </w:rPr>
        <w:t>;</w:t>
      </w:r>
      <w:r>
        <w:rPr>
          <w:rFonts w:hint="eastAsia" w:ascii="仿宋" w:hAnsi="仿宋" w:eastAsia="仿宋" w:cs="仿宋"/>
          <w:color w:val="000000"/>
          <w:sz w:val="24"/>
        </w:rPr>
        <w:t>自我探索</w:t>
      </w:r>
      <w:r>
        <w:rPr>
          <w:rFonts w:ascii="仿宋" w:hAnsi="仿宋" w:eastAsia="仿宋" w:cs="仿宋"/>
          <w:color w:val="000000"/>
          <w:sz w:val="24"/>
        </w:rPr>
        <w:t>;</w:t>
      </w:r>
      <w:r>
        <w:rPr>
          <w:rFonts w:hint="eastAsia" w:ascii="仿宋" w:hAnsi="仿宋" w:eastAsia="仿宋" w:cs="仿宋"/>
          <w:color w:val="000000"/>
          <w:sz w:val="24"/>
        </w:rPr>
        <w:t>了解自己职业兴趣，职业性格，职业能力，职业价值</w:t>
      </w:r>
      <w:r>
        <w:rPr>
          <w:rFonts w:ascii="仿宋" w:hAnsi="仿宋" w:eastAsia="仿宋" w:cs="仿宋"/>
          <w:color w:val="000000"/>
          <w:sz w:val="24"/>
        </w:rPr>
        <w:t>;</w:t>
      </w:r>
      <w:r>
        <w:rPr>
          <w:rFonts w:hint="eastAsia" w:ascii="仿宋" w:hAnsi="仿宋" w:eastAsia="仿宋" w:cs="仿宋"/>
          <w:color w:val="000000"/>
          <w:sz w:val="24"/>
        </w:rPr>
        <w:t>了解外部世界，主要了解社会环境、学校环境和职业环境</w:t>
      </w:r>
      <w:r>
        <w:rPr>
          <w:rFonts w:ascii="仿宋" w:hAnsi="仿宋" w:eastAsia="仿宋" w:cs="仿宋"/>
          <w:color w:val="000000"/>
          <w:sz w:val="24"/>
        </w:rPr>
        <w:t>;</w:t>
      </w:r>
      <w:r>
        <w:rPr>
          <w:rFonts w:hint="eastAsia" w:ascii="仿宋" w:hAnsi="仿宋" w:eastAsia="仿宋" w:cs="仿宋"/>
          <w:color w:val="000000"/>
          <w:sz w:val="24"/>
        </w:rPr>
        <w:t>决策，制定适合自己的职业规划</w:t>
      </w:r>
      <w:r>
        <w:rPr>
          <w:rFonts w:ascii="仿宋" w:hAnsi="仿宋" w:eastAsia="仿宋" w:cs="仿宋"/>
          <w:color w:val="000000"/>
          <w:sz w:val="24"/>
        </w:rPr>
        <w:t>;</w:t>
      </w:r>
      <w:r>
        <w:rPr>
          <w:rFonts w:hint="eastAsia" w:ascii="仿宋" w:hAnsi="仿宋" w:eastAsia="仿宋" w:cs="仿宋"/>
          <w:color w:val="000000"/>
          <w:sz w:val="24"/>
        </w:rPr>
        <w:t>再评估，在实践中探索自我，不断调整职业规划等几部分组成。</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教学要求：以案例教学法、课堂讨论法、讲授法，谈话法、学生小品表演法、生涯规划技能大赛等各种形式相结合的教学方式进行教学，注重学生职业生涯书的设计，理论与实践相结合，计划与发展相结合，注重学生良好表达能力，人际交往能力及决策能力等综合能力的培养。</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（8）</w:t>
      </w:r>
      <w:r>
        <w:rPr>
          <w:rFonts w:hint="eastAsia" w:ascii="仿宋" w:hAnsi="仿宋" w:eastAsia="仿宋"/>
          <w:sz w:val="24"/>
        </w:rPr>
        <w:t>就业指导</w:t>
      </w:r>
      <w:r>
        <w:rPr>
          <w:rFonts w:hint="eastAsia" w:ascii="仿宋" w:hAnsi="仿宋" w:eastAsia="仿宋" w:cs="仿宋"/>
          <w:color w:val="000000"/>
          <w:sz w:val="24"/>
        </w:rPr>
        <w:t>（</w:t>
      </w:r>
      <w:r>
        <w:rPr>
          <w:rFonts w:ascii="仿宋" w:hAnsi="仿宋" w:eastAsia="仿宋" w:cs="仿宋"/>
          <w:color w:val="000000"/>
          <w:sz w:val="24"/>
        </w:rPr>
        <w:t>08108</w:t>
      </w:r>
      <w:r>
        <w:rPr>
          <w:rFonts w:hint="eastAsia" w:ascii="仿宋" w:hAnsi="仿宋" w:eastAsia="仿宋" w:cs="仿宋"/>
          <w:color w:val="000000"/>
          <w:sz w:val="24"/>
        </w:rPr>
        <w:t>）：</w:t>
      </w:r>
      <w:r>
        <w:rPr>
          <w:rFonts w:ascii="仿宋" w:hAnsi="仿宋" w:eastAsia="仿宋" w:cs="仿宋"/>
          <w:color w:val="000000"/>
          <w:sz w:val="24"/>
        </w:rPr>
        <w:t>36</w:t>
      </w:r>
      <w:r>
        <w:rPr>
          <w:rFonts w:hint="eastAsia" w:ascii="仿宋" w:hAnsi="仿宋" w:eastAsia="仿宋" w:cs="仿宋"/>
          <w:color w:val="000000"/>
          <w:sz w:val="24"/>
        </w:rPr>
        <w:t>学时，</w:t>
      </w:r>
      <w:r>
        <w:rPr>
          <w:rFonts w:ascii="仿宋" w:hAnsi="仿宋" w:eastAsia="仿宋" w:cs="仿宋"/>
          <w:color w:val="000000"/>
          <w:sz w:val="24"/>
        </w:rPr>
        <w:t>2</w:t>
      </w:r>
      <w:r>
        <w:rPr>
          <w:rFonts w:hint="eastAsia" w:ascii="仿宋" w:hAnsi="仿宋" w:eastAsia="仿宋" w:cs="仿宋"/>
          <w:color w:val="000000"/>
          <w:sz w:val="24"/>
        </w:rPr>
        <w:t>学分，考查课。</w:t>
      </w:r>
    </w:p>
    <w:p>
      <w:pPr>
        <w:widowControl/>
        <w:spacing w:line="360" w:lineRule="auto"/>
        <w:ind w:firstLine="480" w:firstLineChars="200"/>
        <w:jc w:val="left"/>
        <w:rPr>
          <w:rFonts w:ascii="宋体" w:cs="Arial"/>
          <w:color w:val="000000"/>
          <w:kern w:val="0"/>
          <w:sz w:val="24"/>
        </w:rPr>
      </w:pPr>
      <w:r>
        <w:rPr>
          <w:rFonts w:hint="eastAsia" w:ascii="仿宋" w:hAnsi="仿宋" w:eastAsia="仿宋" w:cs="仿宋"/>
          <w:color w:val="000000"/>
          <w:sz w:val="24"/>
        </w:rPr>
        <w:t>课程目标：通过本课程的学习</w:t>
      </w:r>
      <w:r>
        <w:rPr>
          <w:rFonts w:ascii="仿宋" w:hAnsi="仿宋" w:eastAsia="仿宋" w:cs="仿宋"/>
          <w:color w:val="000000"/>
          <w:sz w:val="24"/>
        </w:rPr>
        <w:t>,</w:t>
      </w:r>
      <w:r>
        <w:rPr>
          <w:rFonts w:hint="eastAsia" w:ascii="仿宋" w:hAnsi="仿宋" w:eastAsia="仿宋" w:cs="仿宋"/>
          <w:color w:val="000000"/>
          <w:sz w:val="24"/>
        </w:rPr>
        <w:t>使学生了解掌握大学生就业、创业过程中面对的实际问题，切实提高学生的就业竞争力，为学生顺利就业适应社会提供必要的指导。通过课程的学习，让学生了解国家的就业方针，了解并掌握就业信息，掌握就业的技能，锻炼良好的心理素质，为顺利进入工作岗位做准备。</w:t>
      </w:r>
    </w:p>
    <w:p>
      <w:pPr>
        <w:spacing w:line="360" w:lineRule="auto"/>
        <w:ind w:firstLine="480" w:firstLineChars="200"/>
        <w:rPr>
          <w:rFonts w:ascii="仿宋" w:hAnsi="仿宋" w:eastAsia="仿宋" w:cs="仿宋"/>
          <w:color w:val="000000"/>
          <w:sz w:val="24"/>
        </w:rPr>
      </w:pPr>
      <w:r>
        <w:rPr>
          <w:rFonts w:hint="eastAsia" w:ascii="仿宋_GB2312" w:hAnsi="仿宋" w:eastAsia="仿宋_GB2312"/>
          <w:color w:val="000000"/>
          <w:sz w:val="24"/>
        </w:rPr>
        <w:t>主要</w:t>
      </w:r>
      <w:r>
        <w:rPr>
          <w:rFonts w:hint="eastAsia" w:ascii="仿宋" w:hAnsi="仿宋" w:eastAsia="仿宋" w:cs="仿宋"/>
          <w:color w:val="000000"/>
          <w:sz w:val="24"/>
        </w:rPr>
        <w:t>内容：该课程主要内容包括：大学生就业形势分析；就业的方针与政策；大学生求职择业的心理准备；大学生应具备的法律知识；求职材料的准备；面试的礼仪与技巧；求职陷阱防范及应对措施，大学生适应新环境，建立良好的人际关系等内容。</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教学要求：本课程要求以案例导入、课堂讨论、讲授法，谈话法，学生情景模拟法等相结合的教学方式进行教学</w:t>
      </w:r>
      <w:r>
        <w:rPr>
          <w:rFonts w:ascii="仿宋" w:hAnsi="仿宋" w:eastAsia="仿宋" w:cs="仿宋"/>
          <w:color w:val="000000"/>
          <w:sz w:val="24"/>
        </w:rPr>
        <w:t>,</w:t>
      </w:r>
      <w:r>
        <w:rPr>
          <w:rFonts w:hint="eastAsia" w:ascii="仿宋" w:hAnsi="仿宋" w:eastAsia="仿宋" w:cs="仿宋"/>
          <w:color w:val="000000"/>
          <w:sz w:val="24"/>
        </w:rPr>
        <w:t>建立课堂教学为主，个性化就业创业指导为辅，理论和实践课程交替进行的教学模式。注重学生良好表达能力，人际交往能力及决策能力等综合能力的培养。</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w:t>
      </w:r>
      <w:r>
        <w:rPr>
          <w:rFonts w:ascii="仿宋" w:hAnsi="仿宋" w:eastAsia="仿宋" w:cs="仿宋"/>
          <w:color w:val="000000"/>
          <w:sz w:val="24"/>
        </w:rPr>
        <w:t>9</w:t>
      </w:r>
      <w:r>
        <w:rPr>
          <w:rFonts w:hint="eastAsia" w:ascii="仿宋" w:hAnsi="仿宋" w:eastAsia="仿宋" w:cs="仿宋"/>
          <w:color w:val="000000"/>
          <w:sz w:val="24"/>
        </w:rPr>
        <w:t>）大学生心理健康教育（</w:t>
      </w:r>
      <w:r>
        <w:rPr>
          <w:rFonts w:ascii="仿宋" w:hAnsi="仿宋" w:eastAsia="仿宋" w:cs="仿宋"/>
          <w:color w:val="000000"/>
          <w:sz w:val="24"/>
        </w:rPr>
        <w:t>08110</w:t>
      </w:r>
      <w:r>
        <w:rPr>
          <w:rFonts w:hint="eastAsia" w:ascii="仿宋" w:hAnsi="仿宋" w:eastAsia="仿宋" w:cs="仿宋"/>
          <w:color w:val="000000"/>
          <w:sz w:val="24"/>
        </w:rPr>
        <w:t>）：</w:t>
      </w:r>
      <w:r>
        <w:rPr>
          <w:rFonts w:ascii="仿宋" w:hAnsi="仿宋" w:eastAsia="仿宋" w:cs="仿宋"/>
          <w:color w:val="000000"/>
          <w:sz w:val="24"/>
        </w:rPr>
        <w:t>36</w:t>
      </w:r>
      <w:r>
        <w:rPr>
          <w:rFonts w:hint="eastAsia" w:ascii="仿宋" w:hAnsi="仿宋" w:eastAsia="仿宋" w:cs="仿宋"/>
          <w:color w:val="000000"/>
          <w:sz w:val="24"/>
        </w:rPr>
        <w:t>学时，</w:t>
      </w:r>
      <w:r>
        <w:rPr>
          <w:rFonts w:ascii="仿宋" w:hAnsi="仿宋" w:eastAsia="仿宋" w:cs="仿宋"/>
          <w:color w:val="000000"/>
          <w:sz w:val="24"/>
        </w:rPr>
        <w:t>2</w:t>
      </w:r>
      <w:r>
        <w:rPr>
          <w:rFonts w:hint="eastAsia" w:ascii="仿宋" w:hAnsi="仿宋" w:eastAsia="仿宋" w:cs="仿宋"/>
          <w:color w:val="000000"/>
          <w:sz w:val="24"/>
        </w:rPr>
        <w:t>学分，考查课。</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课程目标：通过该课程学习，普及心理健康知识，强化心理健康意识，识别心理异常现象；提升心理健康素质，增强社会适应能力，开发自我心理潜能；运用心理调节方法，掌握心理保健技能，提升心理健康水平。</w:t>
      </w:r>
    </w:p>
    <w:p>
      <w:pPr>
        <w:spacing w:line="360" w:lineRule="auto"/>
        <w:ind w:firstLine="480" w:firstLineChars="200"/>
        <w:rPr>
          <w:rFonts w:ascii="仿宋" w:hAnsi="仿宋" w:eastAsia="仿宋" w:cs="仿宋"/>
          <w:color w:val="000000"/>
          <w:sz w:val="24"/>
        </w:rPr>
      </w:pPr>
      <w:r>
        <w:rPr>
          <w:rFonts w:hint="eastAsia" w:ascii="仿宋_GB2312" w:hAnsi="仿宋" w:eastAsia="仿宋_GB2312"/>
          <w:color w:val="000000"/>
          <w:sz w:val="24"/>
        </w:rPr>
        <w:t>主要</w:t>
      </w:r>
      <w:r>
        <w:rPr>
          <w:rFonts w:hint="eastAsia" w:ascii="仿宋" w:hAnsi="仿宋" w:eastAsia="仿宋" w:cs="仿宋"/>
          <w:color w:val="000000"/>
          <w:sz w:val="24"/>
        </w:rPr>
        <w:t>内容：该课程核心内容包括心理健康知识、自我与人格发展、学习与成才、人际交往、恋爱婚姻、情绪与压力管理、社会适应与珍爱生命、择业就业与生涯规划以及生活适应与创业创新。</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教学要求：强调时代性、科学性、知识性和准确性，重视体验性、探索性、实践性和趣味性有机结合，强化知识技能和态度情感价值观的统一。把知识传授、心理体验活动与行为训练融为一体，把知识学习与心理保健方法的传授结合起来，把课堂指导与团体训练结合起来，注重体验式教学、案例式教学和实践参与式教学。</w:t>
      </w:r>
    </w:p>
    <w:p>
      <w:pPr>
        <w:spacing w:line="360" w:lineRule="auto"/>
        <w:ind w:firstLine="480" w:firstLineChars="200"/>
        <w:rPr>
          <w:rFonts w:ascii="仿宋" w:hAnsi="仿宋" w:eastAsia="仿宋" w:cs="仿宋"/>
          <w:sz w:val="24"/>
        </w:rPr>
      </w:pPr>
      <w:r>
        <w:rPr>
          <w:rFonts w:hint="eastAsia" w:ascii="仿宋" w:hAnsi="仿宋" w:eastAsia="仿宋" w:cs="仿宋"/>
          <w:color w:val="000000"/>
          <w:sz w:val="24"/>
        </w:rPr>
        <w:t>(1</w:t>
      </w:r>
      <w:r>
        <w:rPr>
          <w:rFonts w:ascii="仿宋" w:hAnsi="仿宋" w:eastAsia="仿宋" w:cs="仿宋"/>
          <w:color w:val="000000"/>
          <w:sz w:val="24"/>
        </w:rPr>
        <w:t>0</w:t>
      </w:r>
      <w:r>
        <w:rPr>
          <w:rFonts w:hint="eastAsia" w:ascii="仿宋" w:hAnsi="仿宋" w:eastAsia="仿宋" w:cs="仿宋"/>
          <w:color w:val="000000"/>
          <w:sz w:val="24"/>
        </w:rPr>
        <w:t>)</w:t>
      </w:r>
      <w:r>
        <w:rPr>
          <w:rFonts w:hint="eastAsia" w:ascii="仿宋" w:hAnsi="仿宋" w:eastAsia="仿宋" w:cs="仿宋"/>
          <w:sz w:val="24"/>
        </w:rPr>
        <w:t xml:space="preserve"> 安全教育(07105)：18学时，1学分，考查课。 </w:t>
      </w:r>
    </w:p>
    <w:p>
      <w:pPr>
        <w:autoSpaceDE w:val="0"/>
        <w:autoSpaceDN w:val="0"/>
        <w:adjustRightInd w:val="0"/>
        <w:spacing w:line="360" w:lineRule="auto"/>
        <w:ind w:firstLine="480" w:firstLineChars="200"/>
        <w:jc w:val="left"/>
        <w:rPr>
          <w:rFonts w:ascii="仿宋" w:hAnsi="仿宋" w:eastAsia="仿宋" w:cs="仿宋"/>
          <w:bCs/>
          <w:color w:val="000000"/>
          <w:sz w:val="24"/>
        </w:rPr>
      </w:pPr>
      <w:r>
        <w:rPr>
          <w:rFonts w:hint="eastAsia" w:ascii="仿宋" w:hAnsi="仿宋" w:eastAsia="仿宋" w:cs="仿宋"/>
          <w:bCs/>
          <w:color w:val="000000"/>
          <w:sz w:val="24"/>
        </w:rPr>
        <w:t>课程目标：通过本课程的学习，使大学生掌握国家安全、消防安全、应对自然灾害、维护信息和网络安全、心理安全、学习安全、生活安全、财产安全、人身安全和急救常识，使学生在知识和能力水平上达到如下目标。</w:t>
      </w:r>
      <w:r>
        <w:rPr>
          <w:rFonts w:cs="Calibri" w:asciiTheme="minorEastAsia" w:hAnsiTheme="minorEastAsia" w:eastAsiaTheme="minorEastAsia"/>
          <w:bCs/>
          <w:color w:val="000000"/>
          <w:sz w:val="24"/>
        </w:rPr>
        <w:t>①</w:t>
      </w:r>
      <w:r>
        <w:rPr>
          <w:rFonts w:hint="eastAsia" w:ascii="仿宋" w:hAnsi="仿宋" w:eastAsia="仿宋" w:cs="仿宋"/>
          <w:bCs/>
          <w:color w:val="000000"/>
          <w:sz w:val="24"/>
        </w:rPr>
        <w:t>情感态度与价值观目标：通过安全教育，使大学生牢固树立“安全第一”的思想观念，增强安全意识和安全责任感。</w:t>
      </w:r>
      <w:r>
        <w:rPr>
          <w:rFonts w:cs="Calibri" w:asciiTheme="minorEastAsia" w:hAnsiTheme="minorEastAsia" w:eastAsiaTheme="minorEastAsia"/>
          <w:bCs/>
          <w:color w:val="000000"/>
          <w:sz w:val="22"/>
          <w:szCs w:val="22"/>
        </w:rPr>
        <w:t>②</w:t>
      </w:r>
      <w:r>
        <w:rPr>
          <w:rFonts w:hint="eastAsia" w:ascii="仿宋" w:hAnsi="仿宋" w:eastAsia="仿宋" w:cs="仿宋"/>
          <w:bCs/>
          <w:color w:val="000000"/>
          <w:sz w:val="24"/>
        </w:rPr>
        <w:t>知识目标：掌握和了解安全基本知识，掌握与安全问题相关的法律法规和校纪校规，明晰安全问题所包含的基本内容，认清安全问题的社会、校园环境；了解安全信息、安全问题分类知识以及安全保障的基本知识。</w:t>
      </w:r>
      <w:r>
        <w:rPr>
          <w:rFonts w:cs="Calibri" w:asciiTheme="minorEastAsia" w:hAnsiTheme="minorEastAsia" w:eastAsiaTheme="minorEastAsia"/>
          <w:bCs/>
          <w:color w:val="000000"/>
          <w:sz w:val="22"/>
          <w:szCs w:val="22"/>
        </w:rPr>
        <w:t>③</w:t>
      </w:r>
      <w:r>
        <w:rPr>
          <w:rFonts w:hint="eastAsia" w:ascii="仿宋" w:hAnsi="仿宋" w:eastAsia="仿宋" w:cs="仿宋"/>
          <w:bCs/>
          <w:color w:val="000000"/>
          <w:sz w:val="24"/>
        </w:rPr>
        <w:t>技能目标：掌握安全防范技能、安全信息搜索与安全管理技能。掌握以安全为前提的自我保护技能、沟通技能、问题解决技能等。通过本课程学习，使学生们提高防范意识，提高预防和应对各类事故的能力。</w:t>
      </w:r>
    </w:p>
    <w:p>
      <w:pPr>
        <w:autoSpaceDE w:val="0"/>
        <w:autoSpaceDN w:val="0"/>
        <w:adjustRightInd w:val="0"/>
        <w:spacing w:line="360" w:lineRule="auto"/>
        <w:ind w:firstLine="480" w:firstLineChars="200"/>
        <w:jc w:val="left"/>
        <w:rPr>
          <w:rFonts w:ascii="仿宋" w:hAnsi="仿宋" w:eastAsia="仿宋" w:cs="仿宋"/>
          <w:b/>
          <w:sz w:val="24"/>
        </w:rPr>
      </w:pPr>
      <w:r>
        <w:rPr>
          <w:rFonts w:hint="eastAsia" w:ascii="仿宋_GB2312" w:hAnsi="仿宋" w:eastAsia="仿宋_GB2312"/>
          <w:color w:val="000000"/>
          <w:sz w:val="24"/>
        </w:rPr>
        <w:t>主要</w:t>
      </w:r>
      <w:r>
        <w:rPr>
          <w:rFonts w:hint="eastAsia" w:ascii="仿宋" w:hAnsi="仿宋" w:eastAsia="仿宋" w:cs="仿宋"/>
          <w:sz w:val="24"/>
        </w:rPr>
        <w:t>内容：主要包括:国家安全、消防安全、财产安全、人身安全教育、应对自然灾害、交通安全、网络安全、心理安全、学习、生活安全、急救常识、法纪安全、交往、就业安全。</w:t>
      </w:r>
    </w:p>
    <w:p>
      <w:pPr>
        <w:spacing w:line="360" w:lineRule="auto"/>
        <w:ind w:firstLine="480" w:firstLineChars="200"/>
        <w:rPr>
          <w:rFonts w:ascii="仿宋" w:hAnsi="仿宋" w:eastAsia="仿宋" w:cs="仿宋"/>
          <w:sz w:val="24"/>
        </w:rPr>
      </w:pPr>
      <w:r>
        <w:rPr>
          <w:rFonts w:hint="eastAsia" w:ascii="仿宋" w:hAnsi="仿宋" w:eastAsia="仿宋" w:cs="仿宋"/>
          <w:color w:val="333333"/>
          <w:sz w:val="24"/>
          <w:shd w:val="clear" w:color="auto" w:fill="FFFFFF"/>
        </w:rPr>
        <w:t>教学要求：</w:t>
      </w:r>
      <w:r>
        <w:rPr>
          <w:rFonts w:ascii="仿宋" w:hAnsi="仿宋" w:eastAsia="仿宋" w:cs="仿宋"/>
          <w:sz w:val="24"/>
        </w:rPr>
        <w:t>教学应采取</w:t>
      </w:r>
      <w:r>
        <w:rPr>
          <w:rFonts w:hint="eastAsia" w:ascii="仿宋" w:hAnsi="仿宋" w:eastAsia="仿宋" w:cs="仿宋"/>
          <w:sz w:val="24"/>
        </w:rPr>
        <w:t>模块</w:t>
      </w:r>
      <w:r>
        <w:rPr>
          <w:rFonts w:ascii="仿宋" w:hAnsi="仿宋" w:eastAsia="仿宋" w:cs="仿宋"/>
          <w:sz w:val="24"/>
        </w:rPr>
        <w:t>教学法，以工作任务为出发点来激发学生的学习兴趣，教学中</w:t>
      </w:r>
      <w:r>
        <w:rPr>
          <w:rFonts w:hint="eastAsia" w:ascii="仿宋" w:hAnsi="仿宋" w:eastAsia="仿宋" w:cs="仿宋"/>
          <w:sz w:val="24"/>
        </w:rPr>
        <w:t>要</w:t>
      </w:r>
      <w:r>
        <w:rPr>
          <w:rFonts w:ascii="仿宋" w:hAnsi="仿宋" w:eastAsia="仿宋" w:cs="仿宋"/>
          <w:sz w:val="24"/>
        </w:rPr>
        <w:t>注重创设教育情境，采取理论实践一体化教学模式，要充分利用多媒体和网络教学手段。教学评价应采取阶段性评价和目标评价相结合，理论考核与实践考核相结合</w:t>
      </w:r>
      <w:r>
        <w:rPr>
          <w:rFonts w:hint="eastAsia" w:ascii="仿宋" w:hAnsi="仿宋" w:eastAsia="仿宋" w:cs="仿宋"/>
          <w:sz w:val="24"/>
        </w:rPr>
        <w:t>。本课程为考查科目，考评将重点放在注重学生分析能力、判断能力和应用能力的考评。考核形式：实行学期考核制，考核方法可以灵活多样，由任课教师根据授课内容及要求决定。</w:t>
      </w:r>
    </w:p>
    <w:p>
      <w:pPr>
        <w:tabs>
          <w:tab w:val="left" w:pos="420"/>
        </w:tabs>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（1</w:t>
      </w:r>
      <w:r>
        <w:rPr>
          <w:rFonts w:ascii="仿宋_GB2312" w:hAnsi="微软雅黑" w:eastAsia="仿宋_GB2312" w:cs="宋体"/>
          <w:color w:val="000000"/>
          <w:kern w:val="0"/>
          <w:sz w:val="24"/>
        </w:rPr>
        <w:t>1</w:t>
      </w:r>
      <w:r>
        <w:rPr>
          <w:rFonts w:hint="eastAsia" w:ascii="仿宋_GB2312" w:hAnsi="微软雅黑" w:eastAsia="仿宋_GB2312" w:cs="宋体"/>
          <w:color w:val="000000"/>
          <w:kern w:val="0"/>
          <w:sz w:val="24"/>
        </w:rPr>
        <w:t>）劳动教育（07109）：</w:t>
      </w:r>
      <w:r>
        <w:rPr>
          <w:rFonts w:ascii="仿宋_GB2312" w:hAnsi="微软雅黑" w:eastAsia="仿宋_GB2312" w:cs="宋体"/>
          <w:color w:val="000000"/>
          <w:kern w:val="0"/>
          <w:sz w:val="24"/>
        </w:rPr>
        <w:t>18</w:t>
      </w:r>
      <w:r>
        <w:rPr>
          <w:rFonts w:hint="eastAsia" w:ascii="仿宋_GB2312" w:hAnsi="微软雅黑" w:eastAsia="仿宋_GB2312" w:cs="宋体"/>
          <w:color w:val="000000"/>
          <w:kern w:val="0"/>
          <w:sz w:val="24"/>
        </w:rPr>
        <w:t>学时，</w:t>
      </w:r>
      <w:r>
        <w:rPr>
          <w:rFonts w:ascii="仿宋_GB2312" w:hAnsi="微软雅黑" w:eastAsia="仿宋_GB2312" w:cs="宋体"/>
          <w:color w:val="000000"/>
          <w:kern w:val="0"/>
          <w:sz w:val="24"/>
        </w:rPr>
        <w:t>1</w:t>
      </w:r>
      <w:r>
        <w:rPr>
          <w:rFonts w:hint="eastAsia" w:ascii="仿宋_GB2312" w:hAnsi="微软雅黑" w:eastAsia="仿宋_GB2312" w:cs="宋体"/>
          <w:color w:val="000000"/>
          <w:kern w:val="0"/>
          <w:sz w:val="24"/>
        </w:rPr>
        <w:t>学分，考查课。</w:t>
      </w:r>
    </w:p>
    <w:p>
      <w:pPr>
        <w:tabs>
          <w:tab w:val="left" w:pos="420"/>
        </w:tabs>
        <w:spacing w:line="360" w:lineRule="auto"/>
        <w:ind w:firstLine="480" w:firstLineChars="200"/>
        <w:rPr>
          <w:rFonts w:ascii="仿宋_GB2312" w:hAnsi="微软雅黑" w:eastAsia="仿宋_GB2312" w:cs="宋体"/>
          <w:color w:val="000000"/>
          <w:kern w:val="0"/>
          <w:sz w:val="24"/>
        </w:rPr>
      </w:pPr>
      <w:r>
        <w:rPr>
          <w:rFonts w:hint="eastAsia" w:ascii="仿宋" w:hAnsi="仿宋" w:eastAsia="仿宋" w:cs="仿宋"/>
          <w:color w:val="000000"/>
          <w:sz w:val="24"/>
        </w:rPr>
        <w:t>课程目标：</w:t>
      </w:r>
      <w:r>
        <w:rPr>
          <w:rFonts w:hint="eastAsia" w:ascii="仿宋_GB2312" w:hAnsi="微软雅黑" w:eastAsia="仿宋_GB2312" w:cs="宋体"/>
          <w:color w:val="000000"/>
          <w:kern w:val="0"/>
          <w:sz w:val="24"/>
        </w:rPr>
        <w:t xml:space="preserve"> 劳动教育课的总体目标是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p>
      <w:pPr>
        <w:tabs>
          <w:tab w:val="left" w:pos="420"/>
        </w:tabs>
        <w:spacing w:line="360" w:lineRule="auto"/>
        <w:ind w:firstLine="480" w:firstLineChars="200"/>
        <w:rPr>
          <w:rFonts w:ascii="仿宋_GB2312" w:hAnsi="微软雅黑" w:eastAsia="仿宋_GB2312" w:cs="宋体"/>
          <w:color w:val="000000"/>
          <w:kern w:val="0"/>
          <w:sz w:val="24"/>
        </w:rPr>
      </w:pPr>
      <w:r>
        <w:rPr>
          <w:rFonts w:hint="eastAsia" w:ascii="仿宋" w:hAnsi="仿宋" w:eastAsia="仿宋" w:cs="仿宋"/>
          <w:color w:val="000000"/>
          <w:sz w:val="24"/>
        </w:rPr>
        <w:t>主要内容：</w:t>
      </w:r>
      <w:r>
        <w:rPr>
          <w:rFonts w:hint="eastAsia" w:ascii="仿宋_GB2312" w:hAnsi="微软雅黑" w:eastAsia="仿宋_GB2312" w:cs="宋体"/>
          <w:color w:val="000000"/>
          <w:kern w:val="0"/>
          <w:sz w:val="24"/>
        </w:rPr>
        <w:t>主要包括理论课时：</w:t>
      </w:r>
      <w:r>
        <w:rPr>
          <w:rFonts w:eastAsia="仿宋_GB2312" w:cs="Calibri"/>
          <w:color w:val="000000"/>
          <w:kern w:val="0"/>
          <w:sz w:val="22"/>
          <w:szCs w:val="22"/>
        </w:rPr>
        <w:t>①</w:t>
      </w:r>
      <w:r>
        <w:rPr>
          <w:rFonts w:hint="eastAsia" w:ascii="仿宋_GB2312" w:hAnsi="微软雅黑" w:eastAsia="仿宋_GB2312" w:cs="宋体"/>
          <w:color w:val="000000"/>
          <w:kern w:val="0"/>
          <w:sz w:val="24"/>
        </w:rPr>
        <w:t>劳动观、 劳动法、劳动安全、 工匠精神；</w:t>
      </w:r>
      <w:r>
        <w:rPr>
          <w:rFonts w:eastAsia="仿宋_GB2312" w:cs="Calibri"/>
          <w:color w:val="000000"/>
          <w:kern w:val="0"/>
          <w:sz w:val="22"/>
          <w:szCs w:val="22"/>
        </w:rPr>
        <w:t>②</w:t>
      </w:r>
      <w:r>
        <w:rPr>
          <w:rFonts w:hint="eastAsia" w:ascii="仿宋_GB2312" w:hAnsi="微软雅黑" w:eastAsia="仿宋_GB2312" w:cs="宋体"/>
          <w:color w:val="000000"/>
          <w:kern w:val="0"/>
          <w:sz w:val="24"/>
        </w:rPr>
        <w:t>劳动精神、劳模精神、职业素养、奉献精神。实践课时内容：环境清洁、校园绿化、教学保障服务、物业实务、 实训车间实务、垃圾分类 、专业服务、 图书管理与分类。</w:t>
      </w:r>
    </w:p>
    <w:p>
      <w:pPr>
        <w:tabs>
          <w:tab w:val="left" w:pos="420"/>
        </w:tabs>
        <w:spacing w:line="360" w:lineRule="auto"/>
        <w:ind w:firstLine="480" w:firstLineChars="200"/>
        <w:rPr>
          <w:rFonts w:ascii="仿宋_GB2312" w:hAnsi="微软雅黑" w:eastAsia="仿宋_GB2312" w:cs="宋体"/>
          <w:color w:val="000000"/>
          <w:kern w:val="0"/>
          <w:sz w:val="24"/>
        </w:rPr>
      </w:pPr>
      <w:r>
        <w:rPr>
          <w:rFonts w:hint="eastAsia" w:ascii="仿宋" w:hAnsi="仿宋" w:eastAsia="仿宋" w:cs="仿宋"/>
          <w:color w:val="000000"/>
          <w:sz w:val="24"/>
        </w:rPr>
        <w:t>教学要求：</w:t>
      </w:r>
      <w:r>
        <w:rPr>
          <w:rFonts w:hint="eastAsia" w:ascii="仿宋_GB2312" w:hAnsi="微软雅黑" w:eastAsia="仿宋_GB2312" w:cs="宋体"/>
          <w:color w:val="000000"/>
          <w:kern w:val="0"/>
          <w:sz w:val="24"/>
        </w:rPr>
        <w:t>劳动教育要求以能力培养为主，充分发挥学科的独特育人优势，有目的、有计划地组织学生完成理论课教学内容和实践课教学内容。让学生动手实践、出力流汗，接受锻炼、磨炼意志，培养学生正确的劳动价值观和良好的劳动品质，促进学生身心全面发展。劳动教育课将以实际动手操作作为教育的主渠道，其中劳动精神、劳模精神、工匠精神专题教育不少于16学时。将劳动素养纳入学生综合素质评价体系，制定评价标准，建立激励机制，全面客观记录课内外劳动过程和结果，加强实际劳动技能和价值体认情况的考核。</w:t>
      </w:r>
    </w:p>
    <w:p>
      <w:pPr>
        <w:ind w:firstLine="480" w:firstLineChars="200"/>
        <w:rPr>
          <w:rFonts w:ascii="仿宋" w:hAnsi="仿宋" w:eastAsia="仿宋" w:cs="仿宋"/>
          <w:sz w:val="24"/>
        </w:rPr>
      </w:pPr>
      <w:r>
        <w:rPr>
          <w:rFonts w:hint="eastAsia" w:ascii="仿宋" w:hAnsi="仿宋" w:eastAsia="仿宋" w:cs="仿宋"/>
          <w:color w:val="000000"/>
          <w:sz w:val="24"/>
        </w:rPr>
        <w:t>(1</w:t>
      </w:r>
      <w:r>
        <w:rPr>
          <w:rFonts w:ascii="仿宋" w:hAnsi="仿宋" w:eastAsia="仿宋" w:cs="仿宋"/>
          <w:color w:val="000000"/>
          <w:sz w:val="24"/>
        </w:rPr>
        <w:t>2</w:t>
      </w:r>
      <w:r>
        <w:rPr>
          <w:rFonts w:hint="eastAsia" w:ascii="仿宋" w:hAnsi="仿宋" w:eastAsia="仿宋" w:cs="仿宋"/>
          <w:color w:val="000000"/>
          <w:sz w:val="24"/>
        </w:rPr>
        <w:t>)</w:t>
      </w:r>
      <w:r>
        <w:rPr>
          <w:rFonts w:hint="eastAsia" w:ascii="仿宋" w:hAnsi="仿宋" w:eastAsia="仿宋" w:cs="仿宋"/>
          <w:sz w:val="24"/>
        </w:rPr>
        <w:t>体育与</w:t>
      </w:r>
      <w:r>
        <w:rPr>
          <w:rFonts w:ascii="仿宋" w:hAnsi="仿宋" w:eastAsia="仿宋" w:cs="仿宋"/>
          <w:sz w:val="24"/>
        </w:rPr>
        <w:t>健康</w:t>
      </w:r>
      <w:r>
        <w:rPr>
          <w:rFonts w:hint="eastAsia" w:ascii="仿宋" w:hAnsi="仿宋" w:eastAsia="仿宋" w:cs="仿宋"/>
          <w:sz w:val="24"/>
        </w:rPr>
        <w:t xml:space="preserve"> (07104)：</w:t>
      </w:r>
      <w:r>
        <w:rPr>
          <w:rFonts w:ascii="仿宋" w:hAnsi="仿宋" w:eastAsia="仿宋" w:cs="仿宋"/>
          <w:sz w:val="24"/>
        </w:rPr>
        <w:t>72</w:t>
      </w:r>
      <w:r>
        <w:rPr>
          <w:rFonts w:hint="eastAsia" w:ascii="仿宋" w:hAnsi="仿宋" w:eastAsia="仿宋" w:cs="仿宋"/>
          <w:sz w:val="24"/>
        </w:rPr>
        <w:t>学时，</w:t>
      </w:r>
      <w:r>
        <w:rPr>
          <w:rFonts w:ascii="仿宋" w:hAnsi="仿宋" w:eastAsia="仿宋" w:cs="仿宋"/>
          <w:sz w:val="24"/>
        </w:rPr>
        <w:t>4</w:t>
      </w:r>
      <w:r>
        <w:rPr>
          <w:rFonts w:hint="eastAsia" w:ascii="仿宋" w:hAnsi="仿宋" w:eastAsia="仿宋" w:cs="仿宋"/>
          <w:sz w:val="24"/>
        </w:rPr>
        <w:t xml:space="preserve">学分，考试课。 </w:t>
      </w:r>
    </w:p>
    <w:p>
      <w:pPr>
        <w:autoSpaceDE w:val="0"/>
        <w:autoSpaceDN w:val="0"/>
        <w:adjustRightInd w:val="0"/>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课程目标： </w:t>
      </w:r>
      <w:r>
        <w:rPr>
          <w:rFonts w:ascii="仿宋" w:hAnsi="仿宋" w:eastAsia="仿宋" w:cs="仿宋"/>
          <w:sz w:val="24"/>
          <w:shd w:val="clear" w:color="auto" w:fill="FFFFFF"/>
        </w:rPr>
        <w:t>通过大学体育课程的学习，学生将</w:t>
      </w:r>
      <w:r>
        <w:rPr>
          <w:rFonts w:hint="eastAsia" w:ascii="仿宋" w:hAnsi="仿宋" w:eastAsia="仿宋" w:cs="仿宋"/>
          <w:sz w:val="24"/>
          <w:shd w:val="clear" w:color="auto" w:fill="FFFFFF"/>
        </w:rPr>
        <w:t>达到以下目标：</w:t>
      </w:r>
      <w:r>
        <w:rPr>
          <w:rFonts w:ascii="仿宋" w:hAnsi="仿宋" w:eastAsia="仿宋" w:cs="仿宋"/>
          <w:sz w:val="24"/>
          <w:shd w:val="clear" w:color="auto" w:fill="FFFFFF"/>
        </w:rPr>
        <w:t>增强体能，掌握和应用基本的大学体育知识和运动技能；培养运动的兴趣和爱好，形成坚持锻炼的习惯；具有良好的心理品质，表现出人际交往的能力与合作精神；提高对个人健康和群体健康的责任感，形成健康的生活方式；发扬体育精神，形成积极进取、乐观开朗的生活态度；提高与专业特点相适应的体育素养。</w:t>
      </w:r>
    </w:p>
    <w:p>
      <w:pPr>
        <w:autoSpaceDE w:val="0"/>
        <w:autoSpaceDN w:val="0"/>
        <w:adjustRightInd w:val="0"/>
        <w:spacing w:line="360" w:lineRule="auto"/>
        <w:ind w:firstLine="480" w:firstLineChars="200"/>
        <w:jc w:val="left"/>
        <w:rPr>
          <w:rFonts w:ascii="仿宋" w:hAnsi="仿宋" w:eastAsia="仿宋" w:cs="仿宋"/>
          <w:b/>
          <w:sz w:val="24"/>
        </w:rPr>
      </w:pPr>
      <w:r>
        <w:rPr>
          <w:rFonts w:hint="eastAsia" w:ascii="仿宋_GB2312" w:hAnsi="仿宋" w:eastAsia="仿宋_GB2312"/>
          <w:color w:val="000000"/>
          <w:sz w:val="24"/>
        </w:rPr>
        <w:t>主要</w:t>
      </w:r>
      <w:r>
        <w:rPr>
          <w:rFonts w:hint="eastAsia" w:ascii="仿宋" w:hAnsi="仿宋" w:eastAsia="仿宋" w:cs="仿宋"/>
          <w:sz w:val="24"/>
        </w:rPr>
        <w:t>内容：主要包</w:t>
      </w:r>
      <w:r>
        <w:rPr>
          <w:rFonts w:hint="eastAsia" w:ascii="仿宋" w:hAnsi="仿宋" w:eastAsia="仿宋" w:cs="仿宋"/>
          <w:sz w:val="24"/>
          <w:shd w:val="clear" w:color="auto" w:fill="FFFFFF"/>
        </w:rPr>
        <w:t>括</w:t>
      </w:r>
      <w:r>
        <w:rPr>
          <w:rFonts w:ascii="仿宋" w:hAnsi="仿宋" w:eastAsia="仿宋" w:cs="仿宋"/>
          <w:sz w:val="24"/>
          <w:shd w:val="clear" w:color="auto" w:fill="FFFFFF"/>
        </w:rPr>
        <w:t>体育理论基本知识、田径、篮球、排球、足球、健美操、民族传统体育、游戏、乒乓球、羽毛球、形体与健美、网球。</w:t>
      </w:r>
    </w:p>
    <w:p>
      <w:pPr>
        <w:spacing w:line="360" w:lineRule="auto"/>
        <w:ind w:firstLine="480" w:firstLineChars="200"/>
        <w:rPr>
          <w:rFonts w:ascii="仿宋" w:hAnsi="仿宋" w:eastAsia="仿宋" w:cs="仿宋"/>
          <w:b/>
          <w:sz w:val="24"/>
          <w:shd w:val="clear" w:color="auto" w:fill="FFFFFF"/>
        </w:rPr>
      </w:pPr>
      <w:r>
        <w:rPr>
          <w:rFonts w:hint="eastAsia" w:ascii="仿宋" w:hAnsi="仿宋" w:eastAsia="仿宋" w:cs="仿宋"/>
          <w:sz w:val="24"/>
          <w:shd w:val="clear" w:color="auto" w:fill="FFFFFF"/>
        </w:rPr>
        <w:t>教学要求：</w:t>
      </w:r>
      <w:r>
        <w:rPr>
          <w:rFonts w:hint="eastAsia" w:ascii="仿宋" w:hAnsi="仿宋" w:eastAsia="仿宋" w:cs="仿宋"/>
          <w:sz w:val="24"/>
        </w:rPr>
        <w:t>大学体</w:t>
      </w:r>
      <w:r>
        <w:rPr>
          <w:rFonts w:hint="eastAsia" w:ascii="仿宋" w:hAnsi="仿宋" w:eastAsia="仿宋" w:cs="仿宋"/>
          <w:sz w:val="24"/>
          <w:shd w:val="clear" w:color="auto" w:fill="FFFFFF"/>
        </w:rPr>
        <w:t>育要求</w:t>
      </w:r>
      <w:r>
        <w:rPr>
          <w:rFonts w:ascii="仿宋" w:hAnsi="仿宋" w:eastAsia="仿宋" w:cs="仿宋"/>
          <w:sz w:val="24"/>
          <w:shd w:val="clear" w:color="auto" w:fill="FFFFFF"/>
        </w:rPr>
        <w:t>通过教学使学生全面地掌握体育理论与方法的基本知识，明确体育教学目的、任务和体育教学基本原则，学习科学锻炼身体的原则和方法，初步掌握发展身体素质和制订锻炼计划的方法，并结合教育实践活动，培养组织体育活动能力，加强现代科学技术教育与素质教育，使学生进一步明确终生体育意义，树立人生观，陶冶美的情操，使身心得到全面发展。</w:t>
      </w:r>
    </w:p>
    <w:p>
      <w:pPr>
        <w:spacing w:line="360" w:lineRule="auto"/>
        <w:ind w:firstLine="480" w:firstLineChars="200"/>
        <w:jc w:val="left"/>
        <w:rPr>
          <w:rFonts w:ascii="仿宋" w:hAnsi="仿宋" w:eastAsia="仿宋"/>
          <w:sz w:val="24"/>
        </w:rPr>
      </w:pPr>
      <w:r>
        <w:rPr>
          <w:rFonts w:hint="eastAsia" w:ascii="仿宋" w:hAnsi="仿宋" w:eastAsia="仿宋" w:cs="仿宋"/>
          <w:color w:val="000000"/>
          <w:sz w:val="24"/>
        </w:rPr>
        <w:t>(1</w:t>
      </w:r>
      <w:r>
        <w:rPr>
          <w:rFonts w:ascii="仿宋" w:hAnsi="仿宋" w:eastAsia="仿宋" w:cs="仿宋"/>
          <w:color w:val="000000"/>
          <w:sz w:val="24"/>
        </w:rPr>
        <w:t>3</w:t>
      </w:r>
      <w:r>
        <w:rPr>
          <w:rFonts w:hint="eastAsia" w:ascii="仿宋" w:hAnsi="仿宋" w:eastAsia="仿宋" w:cs="仿宋"/>
          <w:color w:val="000000"/>
          <w:sz w:val="24"/>
        </w:rPr>
        <w:t>）</w:t>
      </w:r>
      <w:r>
        <w:rPr>
          <w:rFonts w:hint="eastAsia" w:ascii="仿宋" w:hAnsi="仿宋" w:eastAsia="仿宋"/>
          <w:sz w:val="24"/>
        </w:rPr>
        <w:t>大学语文（07101）：72学时，4学分，考试课。</w:t>
      </w:r>
    </w:p>
    <w:p>
      <w:pPr>
        <w:spacing w:line="360" w:lineRule="auto"/>
        <w:ind w:firstLine="480" w:firstLineChars="200"/>
        <w:rPr>
          <w:rFonts w:ascii="仿宋" w:hAnsi="仿宋" w:eastAsia="仿宋"/>
          <w:bCs/>
          <w:sz w:val="24"/>
        </w:rPr>
      </w:pPr>
      <w:r>
        <w:rPr>
          <w:rFonts w:hint="eastAsia" w:ascii="仿宋" w:hAnsi="仿宋" w:eastAsia="仿宋"/>
          <w:bCs/>
          <w:sz w:val="24"/>
        </w:rPr>
        <w:t>课程目标：围绕全面发展的高素质技术技能型现代职业人的培养目标，通过本课程学习，培养能够适应社会需要，德、智、体、美全面发展，具有良好的人文素养和职业道德的高素质技术技能型人才。</w:t>
      </w:r>
    </w:p>
    <w:p>
      <w:pPr>
        <w:spacing w:line="360" w:lineRule="auto"/>
        <w:ind w:firstLine="480" w:firstLineChars="200"/>
        <w:rPr>
          <w:rFonts w:ascii="仿宋" w:hAnsi="仿宋" w:eastAsia="仿宋"/>
          <w:bCs/>
          <w:sz w:val="24"/>
        </w:rPr>
      </w:pPr>
      <w:r>
        <w:rPr>
          <w:rFonts w:hint="eastAsia" w:ascii="仿宋_GB2312" w:hAnsi="仿宋" w:eastAsia="仿宋_GB2312"/>
          <w:color w:val="000000"/>
          <w:sz w:val="24"/>
        </w:rPr>
        <w:t>主要</w:t>
      </w:r>
      <w:r>
        <w:rPr>
          <w:rFonts w:hint="eastAsia" w:ascii="仿宋" w:hAnsi="仿宋" w:eastAsia="仿宋"/>
          <w:bCs/>
          <w:sz w:val="24"/>
        </w:rPr>
        <w:t>内容：通过文学作品阅读，提高学生的文学作品欣赏能力。学习古今中外的名家名作，了解中国文学的发展历史。掌握正确的阅读方法，有效地提高现代文的阅读质量。欣赏文</w:t>
      </w:r>
      <w:r>
        <w:rPr>
          <w:rFonts w:hint="eastAsia" w:ascii="仿宋" w:hAnsi="仿宋" w:eastAsia="仿宋" w:cs="Arial"/>
          <w:color w:val="000000"/>
          <w:sz w:val="24"/>
          <w:shd w:val="clear" w:color="auto" w:fill="FFFFFF"/>
        </w:rPr>
        <w:t>学作品优美的语言，</w:t>
      </w:r>
      <w:r>
        <w:rPr>
          <w:rFonts w:hint="eastAsia" w:ascii="仿宋" w:hAnsi="仿宋" w:eastAsia="仿宋" w:cs="宋体"/>
          <w:color w:val="1E1E1E"/>
          <w:kern w:val="0"/>
          <w:sz w:val="24"/>
        </w:rPr>
        <w:t>提高审美能力，培养热爱大自然、热爱生活的美好情感。</w:t>
      </w:r>
    </w:p>
    <w:p>
      <w:pPr>
        <w:spacing w:line="360" w:lineRule="auto"/>
        <w:ind w:firstLine="480" w:firstLineChars="200"/>
        <w:rPr>
          <w:rFonts w:ascii="仿宋" w:hAnsi="仿宋" w:eastAsia="仿宋" w:cs="仿宋"/>
          <w:b/>
          <w:color w:val="333333"/>
          <w:sz w:val="24"/>
          <w:shd w:val="clear" w:color="auto" w:fill="FFFFFF"/>
        </w:rPr>
      </w:pPr>
      <w:r>
        <w:rPr>
          <w:rFonts w:hint="eastAsia" w:ascii="仿宋" w:hAnsi="仿宋" w:eastAsia="仿宋"/>
          <w:sz w:val="24"/>
        </w:rPr>
        <w:t>教学要求：本课程主要采用任务引领、情境化教学、活动教学、教学做一体化等教学模式。本课程将理论教学与实践教学相结合，课内教学与课外教学相结合。强调在做中学、在学中做。对接社会，对接职场，培养现代高技能人才应具备的综合职业能力和可持续发展能力。</w:t>
      </w:r>
    </w:p>
    <w:p>
      <w:pPr>
        <w:spacing w:line="360" w:lineRule="auto"/>
        <w:ind w:firstLine="480" w:firstLineChars="200"/>
        <w:jc w:val="left"/>
        <w:rPr>
          <w:rFonts w:ascii="仿宋" w:hAnsi="仿宋" w:eastAsia="仿宋"/>
          <w:sz w:val="24"/>
        </w:rPr>
      </w:pPr>
      <w:r>
        <w:rPr>
          <w:rFonts w:hint="eastAsia" w:ascii="仿宋" w:hAnsi="仿宋" w:eastAsia="仿宋" w:cs="仿宋"/>
          <w:color w:val="000000"/>
          <w:sz w:val="24"/>
        </w:rPr>
        <w:t>（1</w:t>
      </w:r>
      <w:r>
        <w:rPr>
          <w:rFonts w:ascii="仿宋" w:hAnsi="仿宋" w:eastAsia="仿宋" w:cs="仿宋"/>
          <w:color w:val="000000"/>
          <w:sz w:val="24"/>
        </w:rPr>
        <w:t>4</w:t>
      </w:r>
      <w:r>
        <w:rPr>
          <w:rFonts w:hint="eastAsia" w:ascii="仿宋" w:hAnsi="仿宋" w:eastAsia="仿宋" w:cs="仿宋"/>
          <w:color w:val="000000"/>
          <w:sz w:val="24"/>
        </w:rPr>
        <w:t>）</w:t>
      </w:r>
      <w:r>
        <w:rPr>
          <w:rFonts w:hint="eastAsia" w:ascii="仿宋" w:hAnsi="仿宋" w:eastAsia="仿宋"/>
          <w:sz w:val="24"/>
        </w:rPr>
        <w:t>大学英语（07103）：72学时，4学分，考试课。</w:t>
      </w:r>
    </w:p>
    <w:p>
      <w:pPr>
        <w:spacing w:line="360" w:lineRule="auto"/>
        <w:ind w:firstLine="480" w:firstLineChars="200"/>
        <w:jc w:val="left"/>
        <w:rPr>
          <w:rFonts w:ascii="仿宋" w:hAnsi="仿宋" w:eastAsia="仿宋"/>
          <w:b/>
          <w:sz w:val="24"/>
        </w:rPr>
      </w:pPr>
      <w:r>
        <w:rPr>
          <w:rFonts w:hint="eastAsia" w:ascii="仿宋" w:hAnsi="仿宋" w:eastAsia="仿宋"/>
          <w:sz w:val="24"/>
        </w:rPr>
        <w:t>课程目标：经过72学时的教学，使学生掌握一定的英语基础知识和技能，具有一定的听、说、读、写、译的能力，从而能借助词典阅读和翻译有关英语业务资料，在涉外交往的日常交际活动和业务活动中进行简单的口头和书面交流，并为今后进一步提高英语的交流能力打下基础。</w:t>
      </w:r>
      <w:r>
        <w:rPr>
          <w:rFonts w:ascii="仿宋" w:hAnsi="仿宋" w:eastAsia="仿宋"/>
          <w:sz w:val="24"/>
        </w:rPr>
        <w:t>同时增强其自主学习能力、提高综合文化</w:t>
      </w:r>
      <w:r>
        <w:rPr>
          <w:rFonts w:hint="eastAsia" w:ascii="仿宋" w:hAnsi="仿宋" w:eastAsia="仿宋"/>
          <w:sz w:val="24"/>
        </w:rPr>
        <w:t>素</w:t>
      </w:r>
      <w:r>
        <w:rPr>
          <w:rFonts w:ascii="仿宋" w:hAnsi="仿宋" w:eastAsia="仿宋"/>
          <w:sz w:val="24"/>
        </w:rPr>
        <w:t>养</w:t>
      </w:r>
      <w:r>
        <w:rPr>
          <w:rFonts w:hint="eastAsia" w:ascii="仿宋" w:hAnsi="仿宋" w:eastAsia="仿宋"/>
          <w:sz w:val="24"/>
        </w:rPr>
        <w:t>，</w:t>
      </w:r>
      <w:r>
        <w:rPr>
          <w:rFonts w:ascii="仿宋" w:hAnsi="仿宋" w:eastAsia="仿宋"/>
          <w:sz w:val="24"/>
        </w:rPr>
        <w:t>以适应我国经济发展和国际</w:t>
      </w:r>
      <w:r>
        <w:rPr>
          <w:rFonts w:hint="eastAsia" w:ascii="仿宋" w:hAnsi="仿宋" w:eastAsia="仿宋"/>
          <w:sz w:val="24"/>
        </w:rPr>
        <w:t>交流的需要</w:t>
      </w:r>
      <w:r>
        <w:rPr>
          <w:rFonts w:ascii="仿宋" w:hAnsi="仿宋" w:eastAsia="仿宋"/>
          <w:sz w:val="24"/>
        </w:rPr>
        <w:t>。</w:t>
      </w:r>
    </w:p>
    <w:p>
      <w:pPr>
        <w:spacing w:line="360" w:lineRule="auto"/>
        <w:ind w:firstLine="480" w:firstLineChars="200"/>
        <w:jc w:val="left"/>
        <w:rPr>
          <w:rFonts w:ascii="仿宋" w:hAnsi="仿宋" w:eastAsia="仿宋"/>
          <w:sz w:val="24"/>
        </w:rPr>
      </w:pPr>
      <w:r>
        <w:rPr>
          <w:rFonts w:hint="eastAsia" w:ascii="仿宋_GB2312" w:hAnsi="仿宋" w:eastAsia="仿宋_GB2312"/>
          <w:color w:val="000000"/>
          <w:sz w:val="24"/>
        </w:rPr>
        <w:t>主要</w:t>
      </w:r>
      <w:r>
        <w:rPr>
          <w:rFonts w:hint="eastAsia" w:ascii="仿宋" w:hAnsi="仿宋" w:eastAsia="仿宋"/>
          <w:sz w:val="24"/>
        </w:rPr>
        <w:t>内容：语音、词汇、语法、英汉翻译理论、应用文写作。</w:t>
      </w:r>
    </w:p>
    <w:p>
      <w:pPr>
        <w:spacing w:line="360" w:lineRule="auto"/>
        <w:ind w:firstLine="480" w:firstLineChars="200"/>
        <w:rPr>
          <w:rFonts w:ascii="仿宋_GB2312" w:hAnsi="微软雅黑" w:eastAsia="仿宋_GB2312" w:cs="宋体"/>
          <w:bCs/>
          <w:color w:val="000000"/>
          <w:kern w:val="0"/>
          <w:sz w:val="24"/>
        </w:rPr>
      </w:pPr>
      <w:r>
        <w:rPr>
          <w:rFonts w:hint="eastAsia" w:ascii="仿宋" w:hAnsi="仿宋" w:eastAsia="仿宋" w:cs="仿宋"/>
          <w:bCs/>
          <w:color w:val="000000"/>
          <w:sz w:val="24"/>
        </w:rPr>
        <w:t>教学要求：</w:t>
      </w:r>
      <w:r>
        <w:rPr>
          <w:rFonts w:eastAsia="仿宋" w:cs="Calibri"/>
          <w:bCs/>
          <w:color w:val="000000"/>
          <w:szCs w:val="21"/>
        </w:rPr>
        <w:t>①</w:t>
      </w:r>
      <w:r>
        <w:rPr>
          <w:rFonts w:hint="eastAsia" w:ascii="仿宋_GB2312" w:hAnsi="微软雅黑" w:eastAsia="仿宋_GB2312" w:cs="宋体"/>
          <w:bCs/>
          <w:color w:val="000000"/>
          <w:kern w:val="0"/>
          <w:sz w:val="24"/>
        </w:rPr>
        <w:t>听力理解能力：能听懂浅显英语授课，能听懂日常英语谈话，能基本听懂英语国家慢速英语节目，语速为每分钟 120 词左右，能掌握其中心大意，抓住要点。能运用基本的听力技巧帮助理解。</w:t>
      </w:r>
      <w:r>
        <w:rPr>
          <w:rFonts w:eastAsia="仿宋_GB2312" w:cs="Calibri"/>
          <w:bCs/>
          <w:color w:val="000000"/>
          <w:kern w:val="0"/>
          <w:szCs w:val="21"/>
        </w:rPr>
        <w:t>②</w:t>
      </w:r>
      <w:r>
        <w:rPr>
          <w:rFonts w:hint="eastAsia" w:ascii="仿宋_GB2312" w:hAnsi="微软雅黑" w:eastAsia="仿宋_GB2312" w:cs="宋体"/>
          <w:bCs/>
          <w:color w:val="000000"/>
          <w:kern w:val="0"/>
          <w:sz w:val="24"/>
        </w:rPr>
        <w:t>口语表达能力：能在学习过程中用英语交流，并能就某一主题进行讨论。能就日常话题和来自讲英语国家的人士进行交谈。能就所熟悉的话题经准备后作简短发言，表达比较清楚，语音、语调基本正确。能在交谈中使用基本的会话策略。</w:t>
      </w:r>
      <w:r>
        <w:rPr>
          <w:rFonts w:eastAsia="仿宋_GB2312" w:cs="Calibri"/>
          <w:bCs/>
          <w:color w:val="000000"/>
          <w:kern w:val="0"/>
          <w:szCs w:val="21"/>
        </w:rPr>
        <w:t>③</w:t>
      </w:r>
      <w:r>
        <w:rPr>
          <w:rFonts w:hint="eastAsia" w:ascii="仿宋_GB2312" w:hAnsi="微软雅黑" w:eastAsia="仿宋_GB2312" w:cs="宋体"/>
          <w:bCs/>
          <w:color w:val="000000"/>
          <w:kern w:val="0"/>
          <w:sz w:val="24"/>
        </w:rPr>
        <w:t>阅读理解能力：能够基本读懂一般性题材的英文文章，阅读速度达到每分钟 70 词，在快速阅读篇幅较长、难度略低的材料时，阅读速度达到每分钟 100 词，能基本读懂国内英文报刊，掌握中心意思，理解主要事实和有关细节。能读懂工作、生活中常见的应用文体的材料。能在阅读中使用有效的阅读方法。</w:t>
      </w:r>
      <w:r>
        <w:rPr>
          <w:rFonts w:hint="eastAsia" w:ascii="仿宋" w:hAnsi="仿宋" w:eastAsia="仿宋" w:cs="仿宋"/>
          <w:bCs/>
          <w:color w:val="000000"/>
          <w:kern w:val="0"/>
          <w:sz w:val="24"/>
        </w:rPr>
        <w:t>④</w:t>
      </w:r>
      <w:r>
        <w:rPr>
          <w:rFonts w:hint="eastAsia" w:ascii="仿宋_GB2312" w:hAnsi="微软雅黑" w:eastAsia="仿宋_GB2312" w:cs="宋体"/>
          <w:bCs/>
          <w:color w:val="000000"/>
          <w:kern w:val="0"/>
          <w:sz w:val="24"/>
        </w:rPr>
        <w:t>书面表达能力：能用常见的应用文体完成一般的写作任务，能描述个人经历、事件、观感、情感等，能就一般性话题或提纲在半小时内写出 120 词的短文，内容基本完整、用词恰当，语篇连贯。能在一般或应用写作中使用恰当的写作技能。</w:t>
      </w:r>
      <w:r>
        <w:rPr>
          <w:rFonts w:hint="eastAsia" w:ascii="微软雅黑" w:hAnsi="微软雅黑" w:eastAsia="微软雅黑" w:cs="微软雅黑"/>
          <w:bCs/>
          <w:color w:val="000000"/>
          <w:kern w:val="0"/>
          <w:sz w:val="24"/>
        </w:rPr>
        <w:t>⑤</w:t>
      </w:r>
      <w:r>
        <w:rPr>
          <w:rFonts w:hint="eastAsia" w:ascii="仿宋_GB2312" w:hAnsi="微软雅黑" w:eastAsia="仿宋_GB2312" w:cs="宋体"/>
          <w:bCs/>
          <w:color w:val="000000"/>
          <w:kern w:val="0"/>
          <w:sz w:val="24"/>
        </w:rPr>
        <w:t>翻译能力：能借助词典对题材熟悉的文章进行英汉互译，英汉译速为每小时 300 英语单词，汉英译为每小时 250 个汉字。译文基本流畅，能在翻译时使用适当的翻译技巧。</w:t>
      </w:r>
      <w:r>
        <w:rPr>
          <w:rFonts w:hint="eastAsia" w:ascii="微软雅黑" w:hAnsi="微软雅黑" w:eastAsia="微软雅黑" w:cs="微软雅黑"/>
          <w:bCs/>
          <w:color w:val="000000"/>
          <w:kern w:val="0"/>
          <w:sz w:val="24"/>
        </w:rPr>
        <w:t>⑥</w:t>
      </w:r>
      <w:r>
        <w:rPr>
          <w:rFonts w:hint="eastAsia" w:ascii="仿宋_GB2312" w:hAnsi="微软雅黑" w:eastAsia="仿宋_GB2312" w:cs="宋体"/>
          <w:bCs/>
          <w:color w:val="000000"/>
          <w:kern w:val="0"/>
          <w:sz w:val="24"/>
        </w:rPr>
        <w:t>词汇量：掌握的总词汇量应达到 3500 个单词（包含中学词汇）和 600 个词组，其中 2000 个单词为积极词汇，即要求学生能够在认知的基础上学会熟练运用，包括在口头表达以及书面表达两个方面。</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（15）大学生创新创业</w:t>
      </w:r>
      <w:r>
        <w:rPr>
          <w:rFonts w:ascii="仿宋_GB2312" w:hAnsi="仿宋" w:eastAsia="仿宋_GB2312"/>
          <w:color w:val="000000"/>
          <w:sz w:val="24"/>
        </w:rPr>
        <w:t>（08109）：18学时，1学分，考查课。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本课程的目的是通过切实提高学生的就业竞争力，为大学生顺利就业适应社会及树立创业意识提供必要的指导。通过课程的学习，着重培养大学生的创新精神和创业意识，使学生树立正确的创新创业观念，为毕业后开创人生事业打下坚实的基础。使学生了解国家的就业创业方针政策，树立正确的就业创业的道德观念，锻炼良好的心理素质，提升职业素养和可持续发展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内容：该课程主要由创新能力与创新人格培养，创新思维与方法训练，创新技法，大学生创业准备，创业、创业精神与人生发展，创业者与创业团队，创业的计划与实施、创业的风险与防范，创业资源，创业的相关的政策法规几方面组成。</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教学要求：以案例导入、课堂讨论、讲授法，谈话法，举办专业社团、技能比赛、创新创业比赛、模拟或真实创业、勤工俭学等形式鼓励学生进行创新创业实践活动，注重学生综合能力的培养。</w:t>
      </w:r>
    </w:p>
    <w:p>
      <w:pPr>
        <w:widowControl/>
        <w:spacing w:line="360" w:lineRule="auto"/>
        <w:ind w:firstLine="482" w:firstLineChars="200"/>
        <w:jc w:val="left"/>
        <w:rPr>
          <w:rFonts w:ascii="仿宋_GB2312" w:hAnsi="仿宋" w:eastAsia="仿宋_GB2312"/>
          <w:b/>
          <w:color w:val="000000"/>
          <w:sz w:val="24"/>
        </w:rPr>
      </w:pPr>
      <w:r>
        <w:rPr>
          <w:rFonts w:hint="eastAsia" w:ascii="仿宋_GB2312" w:hAnsi="仿宋" w:eastAsia="仿宋_GB2312"/>
          <w:b/>
          <w:color w:val="000000"/>
          <w:sz w:val="24"/>
        </w:rPr>
        <w:t>2</w:t>
      </w:r>
      <w:r>
        <w:rPr>
          <w:rFonts w:ascii="仿宋_GB2312" w:hAnsi="仿宋" w:eastAsia="仿宋_GB2312"/>
          <w:b/>
          <w:color w:val="000000"/>
          <w:sz w:val="24"/>
        </w:rPr>
        <w:t>.</w:t>
      </w:r>
      <w:r>
        <w:rPr>
          <w:rFonts w:hint="eastAsia" w:ascii="仿宋_GB2312" w:hAnsi="仿宋" w:eastAsia="仿宋_GB2312"/>
          <w:b/>
          <w:color w:val="000000"/>
          <w:sz w:val="24"/>
        </w:rPr>
        <w:t>公共选修课程（见附表）（8学分）</w:t>
      </w:r>
    </w:p>
    <w:p>
      <w:pPr>
        <w:spacing w:line="360" w:lineRule="auto"/>
        <w:ind w:firstLine="480" w:firstLineChars="200"/>
        <w:rPr>
          <w:rFonts w:ascii="仿宋" w:hAnsi="仿宋" w:eastAsia="仿宋"/>
          <w:bCs/>
          <w:color w:val="000000"/>
          <w:sz w:val="24"/>
        </w:rPr>
      </w:pPr>
      <w:r>
        <w:rPr>
          <w:rFonts w:hint="eastAsia" w:ascii="仿宋" w:hAnsi="仿宋" w:eastAsia="仿宋"/>
          <w:bCs/>
          <w:color w:val="000000"/>
          <w:sz w:val="24"/>
        </w:rPr>
        <w:t>为拓展学生素质与能力、增长知识与才干、彰显个性与特长、提高文化艺术修养，学校开设一定数量的素质拓展、文化修养和专业技能等方面的选修课程，每门课程16-30学时、1-2学分，由教务处放入教务管理系统供学生自行在网上选课，修习合格后获得相应学分，不及格无需补考，重新选课即可。学生到毕业时必须修满8学分，才能毕业。</w:t>
      </w:r>
    </w:p>
    <w:p>
      <w:pPr>
        <w:widowControl/>
        <w:spacing w:line="360" w:lineRule="auto"/>
        <w:ind w:firstLine="482" w:firstLineChars="200"/>
        <w:jc w:val="left"/>
        <w:rPr>
          <w:rFonts w:ascii="仿宋_GB2312" w:hAnsi="仿宋" w:eastAsia="仿宋_GB2312"/>
          <w:b/>
          <w:color w:val="000000"/>
          <w:sz w:val="24"/>
        </w:rPr>
      </w:pPr>
      <w:r>
        <w:rPr>
          <w:rFonts w:hint="eastAsia" w:ascii="仿宋_GB2312" w:hAnsi="仿宋" w:eastAsia="仿宋_GB2312"/>
          <w:b/>
          <w:color w:val="000000"/>
          <w:sz w:val="24"/>
        </w:rPr>
        <w:t>（二）专业(技能)课程</w:t>
      </w:r>
      <w:bookmarkStart w:id="1" w:name="_Hlk40713636"/>
      <w:r>
        <w:rPr>
          <w:rFonts w:hint="eastAsia" w:ascii="仿宋_GB2312" w:hAnsi="仿宋" w:eastAsia="仿宋_GB2312"/>
          <w:b/>
          <w:color w:val="000000"/>
          <w:sz w:val="24"/>
        </w:rPr>
        <w:t>（</w:t>
      </w:r>
      <w:r>
        <w:rPr>
          <w:rFonts w:ascii="仿宋_GB2312" w:hAnsi="仿宋" w:eastAsia="仿宋_GB2312"/>
          <w:b/>
          <w:color w:val="000000"/>
          <w:sz w:val="24"/>
        </w:rPr>
        <w:t>84</w:t>
      </w:r>
      <w:r>
        <w:rPr>
          <w:rFonts w:hint="eastAsia" w:ascii="仿宋_GB2312" w:hAnsi="仿宋" w:eastAsia="仿宋_GB2312"/>
          <w:b/>
          <w:color w:val="000000"/>
          <w:sz w:val="24"/>
        </w:rPr>
        <w:t>学分）</w:t>
      </w:r>
    </w:p>
    <w:p>
      <w:pPr>
        <w:widowControl/>
        <w:spacing w:line="360" w:lineRule="auto"/>
        <w:ind w:firstLine="482" w:firstLineChars="200"/>
        <w:jc w:val="left"/>
        <w:rPr>
          <w:rFonts w:ascii="仿宋_GB2312" w:hAnsi="仿宋" w:eastAsia="仿宋_GB2312"/>
          <w:b/>
          <w:color w:val="000000"/>
          <w:sz w:val="24"/>
        </w:rPr>
      </w:pPr>
      <w:r>
        <w:rPr>
          <w:rFonts w:hint="eastAsia" w:ascii="仿宋_GB2312" w:hAnsi="仿宋" w:eastAsia="仿宋_GB2312"/>
          <w:b/>
          <w:color w:val="000000"/>
          <w:sz w:val="24"/>
        </w:rPr>
        <w:t>1.专业必修课程（</w:t>
      </w:r>
      <w:r>
        <w:rPr>
          <w:rFonts w:ascii="仿宋_GB2312" w:hAnsi="仿宋" w:eastAsia="仿宋_GB2312"/>
          <w:b/>
          <w:color w:val="000000"/>
          <w:sz w:val="24"/>
        </w:rPr>
        <w:t>76</w:t>
      </w:r>
      <w:r>
        <w:rPr>
          <w:rFonts w:hint="eastAsia" w:ascii="仿宋_GB2312" w:hAnsi="仿宋" w:eastAsia="仿宋_GB2312"/>
          <w:b/>
          <w:color w:val="000000"/>
          <w:sz w:val="24"/>
        </w:rPr>
        <w:t>学分）</w:t>
      </w:r>
    </w:p>
    <w:p>
      <w:pPr>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（1）素描（032039）：72学时，4学分，考查课。</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本课程是数字媒体技术专业专业基础课程，要求学生学习和掌握基本的造型能力、构图能力、色彩处理能力、审美能力。使学生形成独立的审美意识，做到眼睛、手、心相互统一起来，主动去发现生活中不同形态的美，创造美、表现美、享受美。通过本客课程的前期学习，为后面的专业核心课程奠定扎实的美术理论与实践基础。树立正确的绘画与造型、艺术审美能力，具备基本的艺术修养与艺术鉴别能力，培养高素质的合格的技能型人才。</w:t>
      </w:r>
    </w:p>
    <w:p>
      <w:pPr>
        <w:widowControl/>
        <w:spacing w:line="360" w:lineRule="auto"/>
        <w:ind w:firstLine="42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主要内容：素描基础知识、素描石膏静物临摹、素描静物临摹。</w:t>
      </w:r>
    </w:p>
    <w:p>
      <w:pPr>
        <w:widowControl/>
        <w:spacing w:line="360" w:lineRule="auto"/>
        <w:ind w:firstLine="42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教学要求：本课程属于专业基础课程，实践课程，重点以训练学生实践技能为主，增强和提高学生的审美能力、观察能力、表现能力、创新能力。整个教学过程统一按照“理实一体化”进行。要求学生与教师同步进行绘画表现技巧练习，在练习过程中分析知识点、观察方法、特征归纳、技巧与难点。待教师示范完成以后，让学生单独进行分析练习，在学生练习过程中，教师随时帮助学生纠正和解决出现的实际问题，使学生逐步灵活的掌握知识点，提高专业基本素质。</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（2）三大构成（032033）：72学时，4学分，考查课。</w:t>
      </w:r>
    </w:p>
    <w:p>
      <w:pPr>
        <w:widowControl/>
        <w:spacing w:line="360" w:lineRule="auto"/>
        <w:ind w:firstLine="643"/>
        <w:jc w:val="left"/>
        <w:rPr>
          <w:rFonts w:ascii="仿宋_GB2312" w:hAnsi="微软雅黑" w:eastAsia="仿宋_GB2312" w:cs="宋体"/>
          <w:color w:val="000000"/>
          <w:kern w:val="0"/>
          <w:sz w:val="24"/>
          <w:highlight w:val="yellow"/>
        </w:rPr>
      </w:pPr>
      <w:r>
        <w:rPr>
          <w:rFonts w:hint="eastAsia" w:ascii="仿宋_GB2312" w:hAnsi="微软雅黑" w:eastAsia="仿宋_GB2312" w:cs="宋体"/>
          <w:color w:val="000000"/>
          <w:kern w:val="0"/>
          <w:sz w:val="24"/>
        </w:rPr>
        <w:t>课程目标：通过本课程的知识学习和技能培训，是学生了解美的形式美法则、色彩的搭配关系、空间及立体形态的构成方法，能够根据设计课题要求进行创新设计。</w:t>
      </w:r>
    </w:p>
    <w:p>
      <w:pPr>
        <w:widowControl/>
        <w:spacing w:line="360" w:lineRule="auto"/>
        <w:ind w:firstLine="643"/>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主要内容：分为三个教学模块：平面构成、色彩构成、立体构成。</w:t>
      </w:r>
    </w:p>
    <w:p>
      <w:pPr>
        <w:widowControl/>
        <w:spacing w:line="360" w:lineRule="auto"/>
        <w:ind w:firstLine="643"/>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教学要求：通过理论与实践训练使学生懂得学习构成的作用与意义，理解</w:t>
      </w:r>
    </w:p>
    <w:p>
      <w:pPr>
        <w:widowControl/>
        <w:spacing w:line="360" w:lineRule="auto"/>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并掌握构成的基本原理和方法，能应用构成的基本原理与视觉语言进行有目的的视觉形象创造，从而培养学生对艺术视觉形态的创造能力和审美能力。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（3）摄影摄像技术（032036）：72学时，4学分，考查课。</w:t>
      </w:r>
    </w:p>
    <w:p>
      <w:pPr>
        <w:spacing w:line="360" w:lineRule="auto"/>
        <w:ind w:firstLine="480" w:firstLineChars="200"/>
        <w:rPr>
          <w:rFonts w:ascii="仿宋_GB2312" w:hAnsi="微软雅黑" w:eastAsia="仿宋_GB2312" w:cs="宋体"/>
          <w:color w:val="000000"/>
          <w:kern w:val="0"/>
          <w:sz w:val="24"/>
          <w:highlight w:val="yellow"/>
        </w:rPr>
      </w:pPr>
      <w:r>
        <w:rPr>
          <w:rFonts w:hint="eastAsia" w:ascii="仿宋_GB2312" w:hAnsi="仿宋" w:eastAsia="仿宋_GB2312"/>
          <w:color w:val="000000"/>
          <w:sz w:val="24"/>
        </w:rPr>
        <w:t>课程目标：熟练运用照相机摄像机及其附属设备、具有较强的构图能力、电视画面意识、正确把握光线的运用、根据不同类型视频进行技术参数的调整、镜头素材拍摄能力，具备从事摄影摄像的基本职业能力。</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主要内容：摄影摄像的器材和配件、拍摄曝光、拍摄用光、拍摄构图、拍摄专题实践。</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教学要求：使学生掌握摄影摄像的基本操作知识。熟练掌握专业照相机、摄像机的拍摄技巧及用光。</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4</w:t>
      </w:r>
      <w:r>
        <w:rPr>
          <w:rFonts w:hint="eastAsia" w:ascii="仿宋_GB2312" w:hAnsi="仿宋" w:eastAsia="仿宋_GB2312"/>
          <w:color w:val="000000"/>
          <w:sz w:val="24"/>
        </w:rPr>
        <w:t>）图形图像处理（033014）：108学时，6学分，考试课。</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课程目标：掌握图像的创意合成技术、图像的调色技法，图像的绘制技法、图像的精修技法、各类应用环境下图像的文件设置规范，并通过本阶段课程的学习，学生能够具备印刷品和 Web 端的图像制作能力。为后续的设计专业课程奠定扎实的设计软件的应用基础。</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主要内容：了解 Photoshop 安装、界面及应用领域，熟悉 PS 的文件设置规范和十一种图像选择方法，掌握常用的修图工具使 用、矢量工具的应用技巧、十类图层的应用环境、图层蒙版和图像通道、常用的图像绘制技法、常见的滤镜使用方法、常见的图层效果应用以及常见的图像调色技巧等。</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教学要求：作品设计要结合色彩的基本知识，素材的采集结合数码相机、扫描仪的使用，充分利用现代信息技术整合手段进行项目化教学实施性研究学习，培养学生创新能力。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5</w:t>
      </w:r>
      <w:r>
        <w:rPr>
          <w:rFonts w:hint="eastAsia" w:ascii="仿宋_GB2312" w:hAnsi="仿宋" w:eastAsia="仿宋_GB2312"/>
          <w:color w:val="000000"/>
          <w:sz w:val="24"/>
        </w:rPr>
        <w:t>）影视剪辑（033052）：108学时，6学分，考试课。</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课程目标：通过学习让学生熟练操作premiere软件，能够运用premiere进行影视素材的组接、裁剪，掌握制作高质量的动画特效特，技计美观的字幕，熟练处理音频，完成高质量的声画。</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主要内容：影视素材的组接、裁剪；动画特效；字幕设计；音频处理；声画同步。</w:t>
      </w:r>
    </w:p>
    <w:p>
      <w:pPr>
        <w:spacing w:line="360" w:lineRule="auto"/>
        <w:ind w:firstLine="480" w:firstLineChars="200"/>
        <w:rPr>
          <w:rFonts w:ascii="仿宋_GB2312" w:hAnsi="仿宋" w:eastAsia="仿宋_GB2312"/>
          <w:color w:val="000000"/>
          <w:sz w:val="24"/>
        </w:rPr>
      </w:pPr>
      <w:r>
        <w:rPr>
          <w:rFonts w:hint="eastAsia" w:ascii="仿宋_GB2312" w:hAnsi="微软雅黑" w:eastAsia="仿宋_GB2312" w:cs="宋体"/>
          <w:color w:val="000000"/>
          <w:kern w:val="0"/>
          <w:sz w:val="24"/>
        </w:rPr>
        <w:t>教学要求：理论联系实际原则，教学过程中应以项目教学为主教学方式。</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6</w:t>
      </w:r>
      <w:r>
        <w:rPr>
          <w:rFonts w:hint="eastAsia" w:ascii="仿宋_GB2312" w:hAnsi="仿宋" w:eastAsia="仿宋_GB2312"/>
          <w:color w:val="000000"/>
          <w:sz w:val="24"/>
        </w:rPr>
        <w:t>）影视后期（032005）：108学时，6学分，考试课。</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课程目标：会运用</w:t>
      </w:r>
      <w:r>
        <w:rPr>
          <w:rFonts w:hint="eastAsia" w:ascii="仿宋_GB2312" w:hAnsi="仿宋" w:eastAsia="仿宋_GB2312"/>
          <w:color w:val="000000"/>
          <w:sz w:val="24"/>
        </w:rPr>
        <w:t>影视</w:t>
      </w:r>
      <w:r>
        <w:rPr>
          <w:rFonts w:hint="eastAsia" w:ascii="仿宋_GB2312" w:hAnsi="微软雅黑" w:eastAsia="仿宋_GB2312" w:cs="宋体"/>
          <w:color w:val="000000"/>
          <w:kern w:val="0"/>
          <w:sz w:val="24"/>
        </w:rPr>
        <w:t>特效软件制作视频片头;制作视频片尾特效;制作MTV制特效;制作专题短片。</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主要内容：应用时间轴制作特效，创建文字和paint绘图,应用滤镜制作特效;跟踪与表达式,抠图和添加声音特效,制作三维合成特效和渲染和输出。</w:t>
      </w:r>
    </w:p>
    <w:p>
      <w:pPr>
        <w:spacing w:line="360" w:lineRule="auto"/>
        <w:ind w:firstLine="480" w:firstLineChars="200"/>
        <w:rPr>
          <w:rFonts w:ascii="仿宋_GB2312" w:hAnsi="仿宋" w:eastAsia="仿宋_GB2312"/>
          <w:color w:val="000000"/>
          <w:sz w:val="24"/>
        </w:rPr>
      </w:pPr>
      <w:r>
        <w:rPr>
          <w:rFonts w:hint="eastAsia" w:ascii="仿宋_GB2312" w:hAnsi="微软雅黑" w:eastAsia="仿宋_GB2312" w:cs="宋体"/>
          <w:color w:val="000000"/>
          <w:kern w:val="0"/>
          <w:sz w:val="24"/>
        </w:rPr>
        <w:t>教学要求：应用逆向思维原理（逆向是指由结果推向原因过程），培养学生创新思维能力，结合实际项目制作片头片尾及专题等动画制作，制作VCD光盘，定期举办学生优秀作品展。</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7</w:t>
      </w:r>
      <w:r>
        <w:rPr>
          <w:rFonts w:hint="eastAsia" w:ascii="仿宋_GB2312" w:hAnsi="仿宋" w:eastAsia="仿宋_GB2312"/>
          <w:color w:val="000000"/>
          <w:sz w:val="24"/>
        </w:rPr>
        <w:t>）二维动画制作（033022）：108学时，6学分，考试课。</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课程目标：能够运用所学知识和技能进行Flash网页动画制作、产品宣传片制作、Flash MV制作、课件制作等相关Flash二维动画制作。</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主要内容：掌握对象的绘制方法和技巧，会综合运用基本动画类型如“逐帧动画、形状补间动画、运动补间动画、、引导线动画和遮罩层动画”进行动画创作；会根据作品需要，进行脚本语言添加交互功能，。</w:t>
      </w:r>
    </w:p>
    <w:p>
      <w:pPr>
        <w:spacing w:line="360" w:lineRule="auto"/>
        <w:ind w:firstLine="480" w:firstLineChars="200"/>
        <w:rPr>
          <w:rFonts w:ascii="仿宋_GB2312" w:hAnsi="仿宋" w:eastAsia="仿宋_GB2312"/>
          <w:color w:val="000000"/>
          <w:sz w:val="24"/>
        </w:rPr>
      </w:pPr>
      <w:r>
        <w:rPr>
          <w:rFonts w:hint="eastAsia" w:ascii="仿宋_GB2312" w:hAnsi="微软雅黑" w:eastAsia="仿宋_GB2312" w:cs="宋体"/>
          <w:color w:val="000000"/>
          <w:kern w:val="0"/>
          <w:sz w:val="24"/>
        </w:rPr>
        <w:t>教学要求：“项目导向，任务驱动”教学模式，更能激发学生学习兴趣；“以教师为导向，学生为主体，‘教、学、做’一体化”的课程设计理念，更能激发学生进行探究性学习，培养创新能力。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8</w:t>
      </w:r>
      <w:r>
        <w:rPr>
          <w:rFonts w:hint="eastAsia" w:ascii="仿宋_GB2312" w:hAnsi="仿宋" w:eastAsia="仿宋_GB2312"/>
          <w:color w:val="000000"/>
          <w:sz w:val="24"/>
        </w:rPr>
        <w:t>）色彩</w:t>
      </w:r>
      <w:r>
        <w:rPr>
          <w:rFonts w:ascii="仿宋_GB2312" w:hAnsi="仿宋" w:eastAsia="仿宋_GB2312"/>
          <w:color w:val="000000"/>
          <w:sz w:val="24"/>
        </w:rPr>
        <w:t>（</w:t>
      </w:r>
      <w:r>
        <w:rPr>
          <w:rFonts w:hint="eastAsia" w:ascii="仿宋_GB2312" w:hAnsi="仿宋" w:eastAsia="仿宋_GB2312"/>
          <w:color w:val="000000"/>
          <w:sz w:val="24"/>
        </w:rPr>
        <w:t>032002</w:t>
      </w:r>
      <w:r>
        <w:rPr>
          <w:rFonts w:ascii="仿宋_GB2312" w:hAnsi="仿宋" w:eastAsia="仿宋_GB2312"/>
          <w:color w:val="000000"/>
          <w:sz w:val="24"/>
        </w:rPr>
        <w:t>）</w:t>
      </w:r>
      <w:r>
        <w:rPr>
          <w:rFonts w:hint="eastAsia" w:ascii="仿宋_GB2312" w:hAnsi="仿宋" w:eastAsia="仿宋_GB2312"/>
          <w:color w:val="000000"/>
          <w:sz w:val="24"/>
        </w:rPr>
        <w:t>：72学时，4学分，考查课。</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课程目标：通过色彩课程的学习，使学生在美术教学、美术创作与设计中初步具备色彩综合运用与表现能力。熟练地掌握色彩表达技能，并在此基础上，形成良好的色彩审美修养与判断力；培养学生具备良好的色彩教学能力，善于设计色彩教学方法，有效组织色彩教学活动。</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主要内容：《色彩》课程的教学，穿插进行的分三个模块的顺序性教学。</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第一个模块是色彩基础知识，从色彩基本理论教学起步。</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第二个模块基础色彩练习，进入临摹色彩（水粉静物）的基础训练，培养学生的造型与色彩表达能力。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第三个模块是归纳色彩，从色彩的知觉效应出发，运用科学原理与形式美相结合的法则培养学生对色彩的创造性能力。</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担任本课程的主讲教师必须具备良好的艺术修养能力，扎实的绘画功底，具备较高的艺术鉴赏和审美能力，具备较强的现场示范能力。任课教师必须是艺术类专业毕业教师，且具备五年以上绘画及教学经验。熟悉本课程在整个专业培养过程中的作用和前后课程相互间的关系，具备独特的艺术表现能力、设计创新能力。</w:t>
      </w:r>
    </w:p>
    <w:bookmarkEnd w:id="1"/>
    <w:p>
      <w:pPr>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w:t>
      </w:r>
      <w:r>
        <w:rPr>
          <w:rFonts w:ascii="仿宋_GB2312" w:hAnsi="仿宋" w:eastAsia="仿宋_GB2312"/>
          <w:color w:val="000000"/>
          <w:sz w:val="24"/>
        </w:rPr>
        <w:t>9</w:t>
      </w:r>
      <w:r>
        <w:rPr>
          <w:rFonts w:hint="eastAsia" w:ascii="仿宋_GB2312" w:hAnsi="仿宋" w:eastAsia="仿宋_GB2312"/>
          <w:color w:val="000000"/>
          <w:sz w:val="24"/>
        </w:rPr>
        <w:t>）毕业设计（033005）：108学时，6学分，考试课。</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w:t>
      </w:r>
      <w:r>
        <w:rPr>
          <w:rFonts w:hint="eastAsia" w:ascii="仿宋_GB2312" w:hAnsi="微软雅黑" w:eastAsia="仿宋_GB2312" w:cs="宋体"/>
          <w:b/>
          <w:color w:val="000000"/>
          <w:kern w:val="0"/>
          <w:sz w:val="24"/>
        </w:rPr>
        <w:t>：</w:t>
      </w:r>
      <w:r>
        <w:rPr>
          <w:rFonts w:hint="eastAsia" w:ascii="仿宋_GB2312" w:hAnsi="微软雅黑" w:eastAsia="仿宋_GB2312" w:cs="宋体"/>
          <w:color w:val="000000"/>
          <w:kern w:val="0"/>
          <w:sz w:val="24"/>
        </w:rPr>
        <w:t>通过毕业设计，使学生进一步巩固加深所学的基本理论基础、基本技能和专业知识，使之系统化、综合化。在毕业设计中着重培养学生独立工作、独立思考并运用已学的知识解决实际工作中的技术问题能力，加强学生计算、绘图、编辑设计文件、使用规范手册等基本工作的实际能力，使学生树立起具有符合国情和生产实际的正确设计思想和观点；树立起严谨、负责、实事求是、刻苦钻研、勇于探索并具有创新意识及与他人合作的工作作风。</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主要内容：参观相关的媒体设计制作公司，了解实践单位的工作内容，了解数字媒体作品从设计到制作的过程，参与实践单位设计或制作过程中的具体工作，并制作出相应的作品，</w:t>
      </w:r>
    </w:p>
    <w:p>
      <w:pPr>
        <w:spacing w:line="360" w:lineRule="auto"/>
        <w:ind w:firstLine="480" w:firstLineChars="200"/>
        <w:rPr>
          <w:rFonts w:ascii="仿宋_GB2312" w:hAnsi="仿宋" w:eastAsia="仿宋_GB2312"/>
          <w:color w:val="000000"/>
          <w:sz w:val="24"/>
        </w:rPr>
      </w:pPr>
      <w:r>
        <w:rPr>
          <w:rFonts w:hint="eastAsia" w:ascii="仿宋_GB2312" w:hAnsi="微软雅黑" w:eastAsia="仿宋_GB2312" w:cs="宋体"/>
          <w:color w:val="000000"/>
          <w:kern w:val="0"/>
          <w:sz w:val="24"/>
        </w:rPr>
        <w:t>教学要求：毕业设计完成后，每个学生应填写毕业设计评审表，提交毕业设计作品，撰写一份不少于1000字的毕业设计说明，内容主要包括：创意来源、设计思路、设计理念，制作过程。</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（1</w:t>
      </w:r>
      <w:r>
        <w:rPr>
          <w:rFonts w:ascii="仿宋_GB2312" w:hAnsi="仿宋" w:eastAsia="仿宋_GB2312"/>
          <w:color w:val="000000"/>
          <w:sz w:val="24"/>
        </w:rPr>
        <w:t>0</w:t>
      </w:r>
      <w:r>
        <w:rPr>
          <w:rFonts w:hint="eastAsia" w:ascii="仿宋_GB2312" w:hAnsi="仿宋" w:eastAsia="仿宋_GB2312"/>
          <w:color w:val="000000"/>
          <w:sz w:val="24"/>
        </w:rPr>
        <w:t>）顶岗实习（032049）：780学时，26学分，考查课。</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通过顶岗实习，使学生走向社会，接触本专业工作，拓宽知识面，增强感性认识，培养、锻炼学生综合运用所学的专业知识和基本技能，去独立分析和解决实际问题的能力，把理论和实践结合起来，提高实践动手能力；培养学生热爱劳动、不怕苦、不怕累的工作作风；培养、锻炼学生交流、沟通能力和团队精神，实现学生由学校向社会的转变。同时可以检验教学效果，为进一步提高教育教学质量，培养合格人才积累经验。</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系统掌握数字媒体技术应用专业的基本理论与基本技能；掌握动画设计的基本理论，具有运用相关软件制作动画、漫画、插画的能力；掌握数字影视技术、数影视制作技术的理论与方法；掌握网络传播的基本理论和技术；掌握数字媒体产品开发项目策划与管理的相关理论与方法，了解相关的法律法规和行业规则，使其具备组织、控制、管理、推广项目的能力；掌握实际生活和工作中，对计算机的日常维护、软硬件故障排除、办公软件的应用以及其他应用软件的使用等。</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教学要求：服从学校的统一安排，提供可靠有效的通讯联系方法，如有变更应及时通知指导老师并在系办备案，注意自身安全，服从实习单位的安排管理与指导，所有实践学生除了完成实践内容外，需提交实习报告、实习鉴定表各一份，应按顶岗实习大纲的要求，认真学习，努力工作，做好顶岗实习每周记录，完成顶岗实习作业，并在规定的时间内完成顶岗实习总结报告。</w:t>
      </w:r>
    </w:p>
    <w:p>
      <w:pPr>
        <w:spacing w:line="360" w:lineRule="auto"/>
        <w:ind w:firstLine="480" w:firstLineChars="200"/>
        <w:jc w:val="left"/>
        <w:rPr>
          <w:rFonts w:ascii="仿宋" w:hAnsi="仿宋" w:eastAsia="仿宋_GB2312"/>
          <w:color w:val="000000"/>
          <w:sz w:val="24"/>
        </w:rPr>
      </w:pPr>
      <w:r>
        <w:rPr>
          <w:rFonts w:hint="eastAsia" w:ascii="仿宋_GB2312" w:hAnsi="微软雅黑" w:eastAsia="仿宋_GB2312" w:cs="宋体"/>
          <w:color w:val="000000"/>
          <w:kern w:val="0"/>
          <w:sz w:val="24"/>
        </w:rPr>
        <w:t>(1</w:t>
      </w:r>
      <w:r>
        <w:rPr>
          <w:rFonts w:ascii="仿宋_GB2312" w:hAnsi="微软雅黑" w:eastAsia="仿宋_GB2312" w:cs="宋体"/>
          <w:color w:val="000000"/>
          <w:kern w:val="0"/>
          <w:sz w:val="24"/>
        </w:rPr>
        <w:t>1</w:t>
      </w:r>
      <w:r>
        <w:rPr>
          <w:rFonts w:hint="eastAsia" w:ascii="仿宋_GB2312" w:hAnsi="微软雅黑" w:eastAsia="仿宋_GB2312" w:cs="宋体"/>
          <w:color w:val="000000"/>
          <w:kern w:val="0"/>
          <w:sz w:val="24"/>
        </w:rPr>
        <w:t>)</w:t>
      </w:r>
      <w:r>
        <w:rPr>
          <w:rFonts w:hint="eastAsia" w:ascii="仿宋_GB2312" w:hAnsi="仿宋" w:eastAsia="仿宋_GB2312"/>
          <w:color w:val="000000"/>
          <w:sz w:val="24"/>
        </w:rPr>
        <w:t>计算机应用基础（032025）：72学时，4学分，考试课。</w:t>
      </w:r>
    </w:p>
    <w:p>
      <w:pPr>
        <w:spacing w:line="360" w:lineRule="auto"/>
        <w:ind w:firstLine="480" w:firstLineChars="200"/>
        <w:jc w:val="left"/>
        <w:rPr>
          <w:rFonts w:ascii="仿宋_GB2312" w:hAnsi="微软雅黑" w:eastAsia="仿宋_GB2312" w:cs="宋体"/>
          <w:color w:val="000000"/>
          <w:kern w:val="0"/>
          <w:sz w:val="24"/>
          <w:highlight w:val="yellow"/>
        </w:rPr>
      </w:pPr>
      <w:r>
        <w:rPr>
          <w:rFonts w:hint="eastAsia" w:ascii="仿宋_GB2312" w:hAnsi="仿宋" w:eastAsia="仿宋_GB2312"/>
          <w:color w:val="000000"/>
          <w:sz w:val="24"/>
        </w:rPr>
        <w:t>课程目标：能应用计算机系统中软、硬件系统的基本知识。能够熟练指出计算机的主要组成部分，能够熟练输入中英文。素质目标：通过键盘操作训练，使学生苦练基本功。</w:t>
      </w:r>
    </w:p>
    <w:p>
      <w:pPr>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主要内容：计算机的基本构成，计算机系统的硬件和软件，了解计算机的产生和发展，掌握键盘和鼠标的使用。</w:t>
      </w:r>
    </w:p>
    <w:p>
      <w:pPr>
        <w:spacing w:line="360" w:lineRule="auto"/>
        <w:ind w:firstLine="480" w:firstLineChars="200"/>
        <w:rPr>
          <w:rFonts w:ascii="仿宋_GB2312" w:hAnsi="仿宋" w:eastAsia="仿宋_GB2312"/>
          <w:b/>
          <w:color w:val="000000"/>
          <w:sz w:val="24"/>
        </w:rPr>
      </w:pPr>
      <w:r>
        <w:rPr>
          <w:rFonts w:hint="eastAsia" w:ascii="仿宋_GB2312" w:hAnsi="仿宋" w:eastAsia="仿宋_GB2312"/>
          <w:color w:val="000000"/>
          <w:sz w:val="24"/>
        </w:rPr>
        <w:t>教学要求：掌握计算机系统的组成。了解计算机系统的主要部件、计算机的基本配置。了解汉字系统的特点及分类；会输入特殊字符。掌握一种汉字输入法，汉字录入速度达到每分钟30个字以上。掌握计算机的基本操作（包括开关机操作，键盘、软盘的使用）。</w:t>
      </w:r>
    </w:p>
    <w:p>
      <w:pPr>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2</w:t>
      </w:r>
      <w:r>
        <w:rPr>
          <w:rFonts w:ascii="仿宋_GB2312" w:hAnsi="仿宋" w:eastAsia="仿宋_GB2312"/>
          <w:b/>
          <w:color w:val="000000"/>
          <w:sz w:val="24"/>
        </w:rPr>
        <w:t>.</w:t>
      </w:r>
      <w:r>
        <w:rPr>
          <w:rFonts w:hint="eastAsia" w:ascii="仿宋_GB2312" w:hAnsi="仿宋" w:eastAsia="仿宋_GB2312"/>
          <w:b/>
          <w:color w:val="000000"/>
          <w:sz w:val="24"/>
        </w:rPr>
        <w:t>专业选修课程（8学分）</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（1）音频编辑AU（</w:t>
      </w:r>
      <w:r>
        <w:rPr>
          <w:rFonts w:ascii="仿宋_GB2312" w:hAnsi="仿宋" w:eastAsia="仿宋_GB2312"/>
          <w:color w:val="000000"/>
          <w:sz w:val="24"/>
        </w:rPr>
        <w:t>03</w:t>
      </w:r>
      <w:r>
        <w:rPr>
          <w:rFonts w:hint="eastAsia" w:ascii="仿宋_GB2312" w:hAnsi="仿宋" w:eastAsia="仿宋_GB2312"/>
          <w:color w:val="000000"/>
          <w:sz w:val="24"/>
        </w:rPr>
        <w:t>3085）：72学时，4学分，考试课。</w:t>
      </w:r>
    </w:p>
    <w:p>
      <w:pPr>
        <w:spacing w:line="360" w:lineRule="auto"/>
        <w:ind w:firstLine="420"/>
        <w:rPr>
          <w:rFonts w:ascii="仿宋_GB2312" w:hAnsi="仿宋" w:eastAsia="仿宋_GB2312"/>
          <w:color w:val="000000"/>
          <w:sz w:val="24"/>
        </w:rPr>
      </w:pPr>
      <w:r>
        <w:rPr>
          <w:rFonts w:hint="eastAsia" w:ascii="仿宋_GB2312" w:hAnsi="仿宋" w:eastAsia="仿宋_GB2312"/>
          <w:color w:val="000000"/>
          <w:sz w:val="24"/>
        </w:rPr>
        <w:t>课程目标：</w:t>
      </w:r>
      <w:r>
        <w:rPr>
          <w:rFonts w:ascii="仿宋_GB2312" w:hAnsi="仿宋" w:eastAsia="仿宋_GB2312"/>
          <w:color w:val="000000"/>
          <w:sz w:val="24"/>
        </w:rPr>
        <w:t>本课程的教学目的是希望学生掌握一些音乐基础知识，能在实践中使用A</w:t>
      </w:r>
      <w:r>
        <w:rPr>
          <w:rFonts w:hint="eastAsia" w:ascii="仿宋_GB2312" w:hAnsi="仿宋" w:eastAsia="仿宋_GB2312"/>
          <w:color w:val="000000"/>
          <w:sz w:val="24"/>
        </w:rPr>
        <w:t>U</w:t>
      </w:r>
      <w:r>
        <w:rPr>
          <w:rFonts w:ascii="仿宋_GB2312" w:hAnsi="仿宋" w:eastAsia="仿宋_GB2312"/>
          <w:color w:val="000000"/>
          <w:sz w:val="24"/>
        </w:rPr>
        <w:t>软件处理波形文件，通过这些技能的培养和训练，学生在制作影视片子时可以较好地配合内容，选用恰当的音乐作为背景音乐，增强感染力。</w:t>
      </w:r>
    </w:p>
    <w:p>
      <w:pPr>
        <w:widowControl/>
        <w:spacing w:line="360" w:lineRule="auto"/>
        <w:ind w:firstLine="420"/>
        <w:jc w:val="left"/>
        <w:rPr>
          <w:rFonts w:ascii="仿宋_GB2312" w:hAnsi="仿宋" w:eastAsia="仿宋_GB2312"/>
          <w:color w:val="000000"/>
          <w:sz w:val="24"/>
        </w:rPr>
      </w:pPr>
      <w:r>
        <w:rPr>
          <w:rFonts w:hint="eastAsia" w:ascii="仿宋_GB2312" w:hAnsi="仿宋" w:eastAsia="仿宋_GB2312"/>
          <w:color w:val="000000"/>
          <w:sz w:val="24"/>
        </w:rPr>
        <w:t>主要内容：</w:t>
      </w:r>
      <w:r>
        <w:rPr>
          <w:rFonts w:ascii="仿宋_GB2312" w:hAnsi="仿宋" w:eastAsia="仿宋_GB2312"/>
          <w:color w:val="000000"/>
          <w:sz w:val="24"/>
        </w:rPr>
        <w:t>掌握音频的构成；音频编辑的方法</w:t>
      </w:r>
      <w:r>
        <w:rPr>
          <w:rFonts w:hint="eastAsia" w:ascii="仿宋_GB2312" w:hAnsi="仿宋" w:eastAsia="仿宋_GB2312"/>
          <w:color w:val="000000"/>
          <w:sz w:val="24"/>
        </w:rPr>
        <w:t>。</w:t>
      </w:r>
      <w:r>
        <w:rPr>
          <w:rFonts w:ascii="仿宋_GB2312" w:hAnsi="仿宋" w:eastAsia="仿宋_GB2312"/>
          <w:color w:val="000000"/>
          <w:sz w:val="24"/>
        </w:rPr>
        <w:t>熟悉Au音频编辑软件的基础知识</w:t>
      </w:r>
      <w:r>
        <w:rPr>
          <w:rFonts w:hint="eastAsia" w:ascii="仿宋_GB2312" w:hAnsi="仿宋" w:eastAsia="仿宋_GB2312"/>
          <w:color w:val="000000"/>
          <w:sz w:val="24"/>
        </w:rPr>
        <w:t>。</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w:t>
      </w:r>
      <w:r>
        <w:rPr>
          <w:rFonts w:ascii="仿宋_GB2312" w:hAnsi="仿宋" w:eastAsia="仿宋_GB2312"/>
          <w:color w:val="000000"/>
          <w:sz w:val="24"/>
        </w:rPr>
        <w:t>通过课程的学习，要求学生掌握音频编辑相关的理论知识以及培养实际动手操作的能力学生通过学习，可以掌握基本的音频处理方法，并制作出完整的作品。</w:t>
      </w:r>
    </w:p>
    <w:p>
      <w:pPr>
        <w:widowControl/>
        <w:spacing w:line="360" w:lineRule="auto"/>
        <w:ind w:firstLine="480" w:firstLineChars="200"/>
        <w:jc w:val="left"/>
        <w:rPr>
          <w:rFonts w:ascii="仿宋_GB2312" w:hAnsi="仿宋" w:eastAsia="仿宋_GB2312"/>
          <w:color w:val="000000"/>
          <w:sz w:val="24"/>
        </w:rPr>
      </w:pPr>
      <w:r>
        <w:rPr>
          <w:rFonts w:hint="eastAsia" w:ascii="仿宋_GB2312" w:hAnsi="微软雅黑" w:eastAsia="仿宋_GB2312" w:cs="宋体"/>
          <w:color w:val="000000"/>
          <w:kern w:val="0"/>
          <w:sz w:val="24"/>
        </w:rPr>
        <w:t>（2）</w:t>
      </w:r>
      <w:r>
        <w:rPr>
          <w:rFonts w:hint="eastAsia" w:ascii="仿宋_GB2312" w:hAnsi="仿宋" w:eastAsia="仿宋_GB2312"/>
          <w:color w:val="000000"/>
          <w:sz w:val="24"/>
        </w:rPr>
        <w:t>数据库原理及应用（033013）：72学时，4学分，考试课</w:t>
      </w:r>
      <w:r>
        <w:rPr>
          <w:rFonts w:hint="eastAsia" w:ascii="仿宋" w:hAnsi="仿宋" w:eastAsia="仿宋"/>
          <w:sz w:val="24"/>
        </w:rPr>
        <w:t>。</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课程目标：学习数据库基础知识，关系型数据库的设计方法和设计思路。</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主要内容：MySQL数据库的安装和配置、创建数据库和表及其操作、数据的查询、删除、更新、事务管理等内容。</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教学要求：通过学习，学生能够掌握MySQL数据库的开发和管理技术，并初步具备应用程序开发能力。</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八、教学进程总体安排（见附录1）</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九、实施保障</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（一）师资队伍</w:t>
      </w:r>
    </w:p>
    <w:tbl>
      <w:tblPr>
        <w:tblStyle w:val="6"/>
        <w:tblW w:w="88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253"/>
        <w:gridCol w:w="1025"/>
        <w:gridCol w:w="1850"/>
        <w:gridCol w:w="2565"/>
        <w:gridCol w:w="1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hint="eastAsia" w:ascii="仿宋" w:hAnsi="仿宋" w:eastAsia="仿宋" w:cs="仿宋"/>
              </w:rPr>
              <w:t>序号</w:t>
            </w:r>
          </w:p>
        </w:tc>
        <w:tc>
          <w:tcPr>
            <w:tcW w:w="1253" w:type="dxa"/>
          </w:tcPr>
          <w:p>
            <w:pPr>
              <w:rPr>
                <w:rFonts w:ascii="仿宋" w:hAnsi="仿宋" w:eastAsia="仿宋" w:cs="仿宋"/>
              </w:rPr>
            </w:pPr>
            <w:r>
              <w:rPr>
                <w:rFonts w:hint="eastAsia" w:ascii="仿宋" w:hAnsi="仿宋" w:eastAsia="仿宋" w:cs="仿宋"/>
              </w:rPr>
              <w:t>姓名</w:t>
            </w:r>
          </w:p>
        </w:tc>
        <w:tc>
          <w:tcPr>
            <w:tcW w:w="1025" w:type="dxa"/>
          </w:tcPr>
          <w:p>
            <w:pPr>
              <w:rPr>
                <w:rFonts w:ascii="仿宋" w:hAnsi="仿宋" w:eastAsia="仿宋" w:cs="仿宋"/>
              </w:rPr>
            </w:pPr>
            <w:r>
              <w:rPr>
                <w:rFonts w:hint="eastAsia" w:ascii="仿宋" w:hAnsi="仿宋" w:eastAsia="仿宋" w:cs="仿宋"/>
              </w:rPr>
              <w:t>学历</w:t>
            </w:r>
          </w:p>
        </w:tc>
        <w:tc>
          <w:tcPr>
            <w:tcW w:w="1850" w:type="dxa"/>
          </w:tcPr>
          <w:p>
            <w:pPr>
              <w:rPr>
                <w:rFonts w:ascii="仿宋" w:hAnsi="仿宋" w:eastAsia="仿宋" w:cs="仿宋"/>
              </w:rPr>
            </w:pPr>
            <w:r>
              <w:rPr>
                <w:rFonts w:hint="eastAsia" w:ascii="仿宋" w:hAnsi="仿宋" w:eastAsia="仿宋" w:cs="仿宋"/>
              </w:rPr>
              <w:t>专业技术职务</w:t>
            </w:r>
          </w:p>
        </w:tc>
        <w:tc>
          <w:tcPr>
            <w:tcW w:w="2565" w:type="dxa"/>
          </w:tcPr>
          <w:p>
            <w:pPr>
              <w:rPr>
                <w:rFonts w:ascii="仿宋" w:hAnsi="仿宋" w:eastAsia="仿宋" w:cs="仿宋"/>
              </w:rPr>
            </w:pPr>
            <w:r>
              <w:rPr>
                <w:rFonts w:hint="eastAsia" w:ascii="仿宋" w:hAnsi="仿宋" w:eastAsia="仿宋" w:cs="仿宋"/>
              </w:rPr>
              <w:t>课程</w:t>
            </w:r>
          </w:p>
        </w:tc>
        <w:tc>
          <w:tcPr>
            <w:tcW w:w="1433" w:type="dxa"/>
          </w:tcPr>
          <w:p>
            <w:pPr>
              <w:rPr>
                <w:rFonts w:ascii="仿宋" w:hAnsi="仿宋" w:eastAsia="仿宋" w:cs="仿宋"/>
              </w:rPr>
            </w:pPr>
            <w:r>
              <w:rPr>
                <w:rFonts w:hint="eastAsia" w:ascii="仿宋" w:hAnsi="仿宋" w:eastAsia="仿宋" w:cs="仿宋"/>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hint="eastAsia" w:ascii="仿宋" w:hAnsi="仿宋" w:eastAsia="仿宋" w:cs="仿宋"/>
              </w:rPr>
              <w:t>1</w:t>
            </w:r>
          </w:p>
        </w:tc>
        <w:tc>
          <w:tcPr>
            <w:tcW w:w="1253" w:type="dxa"/>
          </w:tcPr>
          <w:p>
            <w:pPr>
              <w:rPr>
                <w:rFonts w:ascii="仿宋" w:hAnsi="仿宋" w:eastAsia="仿宋" w:cs="仿宋"/>
              </w:rPr>
            </w:pPr>
            <w:r>
              <w:rPr>
                <w:rFonts w:hint="eastAsia" w:ascii="仿宋" w:hAnsi="仿宋" w:eastAsia="仿宋" w:cs="仿宋"/>
              </w:rPr>
              <w:t>毕力格图</w:t>
            </w:r>
          </w:p>
        </w:tc>
        <w:tc>
          <w:tcPr>
            <w:tcW w:w="1025" w:type="dxa"/>
          </w:tcPr>
          <w:p>
            <w:pPr>
              <w:rPr>
                <w:rFonts w:ascii="仿宋" w:hAnsi="仿宋" w:eastAsia="仿宋" w:cs="仿宋"/>
              </w:rPr>
            </w:pPr>
            <w:r>
              <w:rPr>
                <w:rFonts w:hint="eastAsia" w:ascii="仿宋" w:hAnsi="仿宋" w:eastAsia="仿宋" w:cs="仿宋"/>
              </w:rPr>
              <w:t>本科</w:t>
            </w:r>
          </w:p>
        </w:tc>
        <w:tc>
          <w:tcPr>
            <w:tcW w:w="1850" w:type="dxa"/>
          </w:tcPr>
          <w:p>
            <w:pPr>
              <w:rPr>
                <w:rFonts w:ascii="仿宋" w:hAnsi="仿宋" w:eastAsia="仿宋" w:cs="仿宋"/>
              </w:rPr>
            </w:pPr>
            <w:r>
              <w:rPr>
                <w:rFonts w:hint="eastAsia" w:ascii="仿宋" w:hAnsi="仿宋" w:eastAsia="仿宋" w:cs="仿宋"/>
              </w:rPr>
              <w:t>高级讲师</w:t>
            </w:r>
          </w:p>
        </w:tc>
        <w:tc>
          <w:tcPr>
            <w:tcW w:w="2565" w:type="dxa"/>
          </w:tcPr>
          <w:p>
            <w:pPr>
              <w:rPr>
                <w:rFonts w:ascii="仿宋" w:hAnsi="仿宋" w:eastAsia="仿宋" w:cs="仿宋"/>
              </w:rPr>
            </w:pPr>
            <w:r>
              <w:rPr>
                <w:rFonts w:hint="eastAsia" w:ascii="仿宋" w:hAnsi="仿宋" w:eastAsia="仿宋" w:cs="仿宋"/>
              </w:rPr>
              <w:t>Ed、音频处理</w:t>
            </w:r>
          </w:p>
        </w:tc>
        <w:tc>
          <w:tcPr>
            <w:tcW w:w="1433" w:type="dxa"/>
          </w:tcPr>
          <w:p>
            <w:pP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hint="eastAsia" w:ascii="仿宋" w:hAnsi="仿宋" w:eastAsia="仿宋" w:cs="仿宋"/>
              </w:rPr>
              <w:t>2</w:t>
            </w:r>
          </w:p>
        </w:tc>
        <w:tc>
          <w:tcPr>
            <w:tcW w:w="1253" w:type="dxa"/>
          </w:tcPr>
          <w:p>
            <w:pPr>
              <w:rPr>
                <w:rFonts w:ascii="仿宋" w:hAnsi="仿宋" w:eastAsia="仿宋" w:cs="仿宋"/>
              </w:rPr>
            </w:pPr>
            <w:r>
              <w:rPr>
                <w:rFonts w:hint="eastAsia" w:ascii="仿宋" w:hAnsi="仿宋" w:eastAsia="仿宋" w:cs="仿宋"/>
              </w:rPr>
              <w:t>陈曦</w:t>
            </w:r>
          </w:p>
        </w:tc>
        <w:tc>
          <w:tcPr>
            <w:tcW w:w="1025" w:type="dxa"/>
          </w:tcPr>
          <w:p>
            <w:pPr>
              <w:rPr>
                <w:rFonts w:ascii="仿宋" w:hAnsi="仿宋" w:eastAsia="仿宋" w:cs="仿宋"/>
              </w:rPr>
            </w:pPr>
            <w:r>
              <w:rPr>
                <w:rFonts w:hint="eastAsia" w:ascii="仿宋" w:hAnsi="仿宋" w:eastAsia="仿宋" w:cs="仿宋"/>
              </w:rPr>
              <w:t>本科</w:t>
            </w:r>
          </w:p>
        </w:tc>
        <w:tc>
          <w:tcPr>
            <w:tcW w:w="1850" w:type="dxa"/>
          </w:tcPr>
          <w:p>
            <w:pPr>
              <w:rPr>
                <w:rFonts w:ascii="仿宋" w:hAnsi="仿宋" w:eastAsia="仿宋" w:cs="仿宋"/>
              </w:rPr>
            </w:pPr>
            <w:r>
              <w:rPr>
                <w:rFonts w:hint="eastAsia" w:ascii="仿宋" w:hAnsi="仿宋" w:eastAsia="仿宋" w:cs="仿宋"/>
              </w:rPr>
              <w:t>讲师</w:t>
            </w:r>
          </w:p>
        </w:tc>
        <w:tc>
          <w:tcPr>
            <w:tcW w:w="2565" w:type="dxa"/>
          </w:tcPr>
          <w:p>
            <w:pPr>
              <w:rPr>
                <w:rFonts w:ascii="仿宋" w:hAnsi="仿宋" w:eastAsia="仿宋" w:cs="仿宋"/>
              </w:rPr>
            </w:pPr>
            <w:r>
              <w:rPr>
                <w:rFonts w:hint="eastAsia" w:ascii="仿宋" w:hAnsi="仿宋" w:eastAsia="仿宋" w:cs="仿宋"/>
              </w:rPr>
              <w:t>摄影摄像</w:t>
            </w:r>
          </w:p>
        </w:tc>
        <w:tc>
          <w:tcPr>
            <w:tcW w:w="1433" w:type="dxa"/>
          </w:tcPr>
          <w:p>
            <w:pP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6" w:type="dxa"/>
            <w:vAlign w:val="center"/>
          </w:tcPr>
          <w:p>
            <w:pPr>
              <w:jc w:val="center"/>
              <w:rPr>
                <w:rFonts w:ascii="仿宋" w:hAnsi="仿宋" w:eastAsia="仿宋" w:cs="仿宋"/>
              </w:rPr>
            </w:pPr>
            <w:r>
              <w:rPr>
                <w:rFonts w:hint="eastAsia" w:ascii="仿宋" w:hAnsi="仿宋" w:eastAsia="仿宋" w:cs="仿宋"/>
              </w:rPr>
              <w:t>3</w:t>
            </w:r>
          </w:p>
        </w:tc>
        <w:tc>
          <w:tcPr>
            <w:tcW w:w="1253" w:type="dxa"/>
            <w:vAlign w:val="center"/>
          </w:tcPr>
          <w:p>
            <w:pPr>
              <w:rPr>
                <w:rFonts w:ascii="仿宋" w:hAnsi="仿宋" w:eastAsia="仿宋" w:cs="仿宋"/>
              </w:rPr>
            </w:pPr>
            <w:r>
              <w:rPr>
                <w:rFonts w:hint="eastAsia" w:ascii="仿宋" w:hAnsi="仿宋" w:eastAsia="仿宋" w:cs="仿宋"/>
              </w:rPr>
              <w:t>孙志强</w:t>
            </w:r>
          </w:p>
        </w:tc>
        <w:tc>
          <w:tcPr>
            <w:tcW w:w="1025" w:type="dxa"/>
            <w:vAlign w:val="center"/>
          </w:tcPr>
          <w:p>
            <w:pPr>
              <w:rPr>
                <w:rFonts w:ascii="仿宋" w:hAnsi="仿宋" w:eastAsia="仿宋" w:cs="仿宋"/>
              </w:rPr>
            </w:pPr>
            <w:r>
              <w:rPr>
                <w:rFonts w:hint="eastAsia" w:ascii="仿宋" w:hAnsi="仿宋" w:eastAsia="仿宋" w:cs="仿宋"/>
              </w:rPr>
              <w:t>研究生</w:t>
            </w:r>
          </w:p>
        </w:tc>
        <w:tc>
          <w:tcPr>
            <w:tcW w:w="1850" w:type="dxa"/>
            <w:vAlign w:val="center"/>
          </w:tcPr>
          <w:p>
            <w:pPr>
              <w:rPr>
                <w:rFonts w:ascii="仿宋" w:hAnsi="仿宋" w:eastAsia="仿宋" w:cs="仿宋"/>
              </w:rPr>
            </w:pPr>
            <w:r>
              <w:rPr>
                <w:rFonts w:hint="eastAsia" w:ascii="仿宋" w:hAnsi="仿宋" w:eastAsia="仿宋" w:cs="仿宋"/>
              </w:rPr>
              <w:t>高级讲师</w:t>
            </w:r>
          </w:p>
        </w:tc>
        <w:tc>
          <w:tcPr>
            <w:tcW w:w="2565" w:type="dxa"/>
            <w:vAlign w:val="center"/>
          </w:tcPr>
          <w:p>
            <w:pPr>
              <w:rPr>
                <w:rFonts w:ascii="仿宋" w:hAnsi="仿宋" w:eastAsia="仿宋" w:cs="仿宋"/>
              </w:rPr>
            </w:pPr>
            <w:r>
              <w:rPr>
                <w:rFonts w:hint="eastAsia" w:ascii="仿宋" w:hAnsi="仿宋" w:eastAsia="仿宋" w:cs="仿宋"/>
              </w:rPr>
              <w:t>影视导演基础</w:t>
            </w:r>
          </w:p>
        </w:tc>
        <w:tc>
          <w:tcPr>
            <w:tcW w:w="1433" w:type="dxa"/>
            <w:vAlign w:val="center"/>
          </w:tcPr>
          <w:p>
            <w:pP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hint="eastAsia" w:ascii="仿宋" w:hAnsi="仿宋" w:eastAsia="仿宋" w:cs="仿宋"/>
              </w:rPr>
              <w:t>4</w:t>
            </w:r>
          </w:p>
        </w:tc>
        <w:tc>
          <w:tcPr>
            <w:tcW w:w="1253" w:type="dxa"/>
            <w:vAlign w:val="center"/>
          </w:tcPr>
          <w:p>
            <w:pPr>
              <w:rPr>
                <w:rFonts w:ascii="仿宋" w:hAnsi="仿宋" w:eastAsia="仿宋" w:cs="仿宋"/>
              </w:rPr>
            </w:pPr>
            <w:r>
              <w:rPr>
                <w:rFonts w:hint="eastAsia" w:ascii="仿宋" w:hAnsi="仿宋" w:eastAsia="仿宋" w:cs="仿宋"/>
              </w:rPr>
              <w:t>程欣</w:t>
            </w:r>
          </w:p>
        </w:tc>
        <w:tc>
          <w:tcPr>
            <w:tcW w:w="1025" w:type="dxa"/>
            <w:vAlign w:val="center"/>
          </w:tcPr>
          <w:p>
            <w:pPr>
              <w:rPr>
                <w:rFonts w:ascii="仿宋" w:hAnsi="仿宋" w:eastAsia="仿宋" w:cs="仿宋"/>
              </w:rPr>
            </w:pPr>
            <w:r>
              <w:rPr>
                <w:rFonts w:hint="eastAsia" w:ascii="仿宋" w:hAnsi="仿宋" w:eastAsia="仿宋" w:cs="仿宋"/>
              </w:rPr>
              <w:t>本科</w:t>
            </w:r>
          </w:p>
        </w:tc>
        <w:tc>
          <w:tcPr>
            <w:tcW w:w="1850" w:type="dxa"/>
            <w:vAlign w:val="center"/>
          </w:tcPr>
          <w:p>
            <w:pPr>
              <w:rPr>
                <w:rFonts w:ascii="仿宋" w:hAnsi="仿宋" w:eastAsia="仿宋" w:cs="仿宋"/>
              </w:rPr>
            </w:pPr>
            <w:r>
              <w:rPr>
                <w:rFonts w:hint="eastAsia" w:ascii="仿宋" w:hAnsi="仿宋" w:eastAsia="仿宋" w:cs="仿宋"/>
              </w:rPr>
              <w:t>讲师</w:t>
            </w:r>
          </w:p>
        </w:tc>
        <w:tc>
          <w:tcPr>
            <w:tcW w:w="2565" w:type="dxa"/>
            <w:vAlign w:val="center"/>
          </w:tcPr>
          <w:p>
            <w:pPr>
              <w:rPr>
                <w:rFonts w:ascii="仿宋" w:hAnsi="仿宋" w:eastAsia="仿宋" w:cs="仿宋"/>
              </w:rPr>
            </w:pPr>
            <w:r>
              <w:rPr>
                <w:rFonts w:hint="eastAsia" w:ascii="仿宋" w:hAnsi="仿宋" w:eastAsia="仿宋" w:cs="仿宋"/>
              </w:rPr>
              <w:t>素描、色彩、三大构成</w:t>
            </w:r>
          </w:p>
        </w:tc>
        <w:tc>
          <w:tcPr>
            <w:tcW w:w="1433" w:type="dxa"/>
            <w:vAlign w:val="center"/>
          </w:tcPr>
          <w:p>
            <w:pPr>
              <w:rPr>
                <w:rFonts w:ascii="仿宋" w:hAnsi="仿宋" w:eastAsia="仿宋" w:cs="仿宋"/>
              </w:rPr>
            </w:pPr>
            <w:r>
              <w:rPr>
                <w:rFonts w:hint="eastAsia" w:ascii="仿宋" w:hAnsi="仿宋" w:eastAsia="仿宋" w:cs="仿宋"/>
              </w:rPr>
              <w:t>双师型教师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hint="eastAsia" w:ascii="仿宋" w:hAnsi="仿宋" w:eastAsia="仿宋" w:cs="仿宋"/>
              </w:rPr>
              <w:t>6</w:t>
            </w:r>
          </w:p>
        </w:tc>
        <w:tc>
          <w:tcPr>
            <w:tcW w:w="1253" w:type="dxa"/>
            <w:vAlign w:val="center"/>
          </w:tcPr>
          <w:p>
            <w:pPr>
              <w:rPr>
                <w:rFonts w:ascii="仿宋" w:hAnsi="仿宋" w:eastAsia="仿宋" w:cs="仿宋"/>
              </w:rPr>
            </w:pPr>
            <w:r>
              <w:rPr>
                <w:rFonts w:hint="eastAsia" w:ascii="仿宋" w:hAnsi="仿宋" w:eastAsia="仿宋" w:cs="仿宋"/>
              </w:rPr>
              <w:t>刘国芹</w:t>
            </w:r>
          </w:p>
        </w:tc>
        <w:tc>
          <w:tcPr>
            <w:tcW w:w="1025" w:type="dxa"/>
            <w:vAlign w:val="center"/>
          </w:tcPr>
          <w:p>
            <w:pPr>
              <w:rPr>
                <w:rFonts w:ascii="仿宋" w:hAnsi="仿宋" w:eastAsia="仿宋" w:cs="仿宋"/>
              </w:rPr>
            </w:pPr>
            <w:r>
              <w:rPr>
                <w:rFonts w:hint="eastAsia" w:ascii="仿宋" w:hAnsi="仿宋" w:eastAsia="仿宋" w:cs="仿宋"/>
              </w:rPr>
              <w:t>本科</w:t>
            </w:r>
          </w:p>
        </w:tc>
        <w:tc>
          <w:tcPr>
            <w:tcW w:w="1850" w:type="dxa"/>
            <w:vAlign w:val="center"/>
          </w:tcPr>
          <w:p>
            <w:pPr>
              <w:rPr>
                <w:rFonts w:ascii="仿宋" w:hAnsi="仿宋" w:eastAsia="仿宋" w:cs="仿宋"/>
              </w:rPr>
            </w:pPr>
            <w:r>
              <w:rPr>
                <w:rFonts w:hint="eastAsia" w:ascii="仿宋" w:hAnsi="仿宋" w:eastAsia="仿宋" w:cs="仿宋"/>
              </w:rPr>
              <w:t>高级讲师</w:t>
            </w:r>
          </w:p>
        </w:tc>
        <w:tc>
          <w:tcPr>
            <w:tcW w:w="2565" w:type="dxa"/>
            <w:vAlign w:val="center"/>
          </w:tcPr>
          <w:p>
            <w:pPr>
              <w:rPr>
                <w:rFonts w:ascii="仿宋" w:hAnsi="仿宋" w:eastAsia="仿宋" w:cs="仿宋"/>
              </w:rPr>
            </w:pPr>
            <w:r>
              <w:rPr>
                <w:rFonts w:hint="eastAsia" w:ascii="仿宋" w:hAnsi="仿宋" w:eastAsia="仿宋" w:cs="仿宋"/>
              </w:rPr>
              <w:t>三维动画</w:t>
            </w:r>
          </w:p>
        </w:tc>
        <w:tc>
          <w:tcPr>
            <w:tcW w:w="1433" w:type="dxa"/>
            <w:vAlign w:val="center"/>
          </w:tcPr>
          <w:p>
            <w:pP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hint="eastAsia" w:ascii="仿宋" w:hAnsi="仿宋" w:eastAsia="仿宋" w:cs="仿宋"/>
              </w:rPr>
              <w:t>6</w:t>
            </w:r>
          </w:p>
        </w:tc>
        <w:tc>
          <w:tcPr>
            <w:tcW w:w="1253" w:type="dxa"/>
            <w:vAlign w:val="center"/>
          </w:tcPr>
          <w:p>
            <w:pPr>
              <w:rPr>
                <w:rFonts w:ascii="仿宋" w:hAnsi="仿宋" w:eastAsia="仿宋" w:cs="仿宋"/>
              </w:rPr>
            </w:pPr>
            <w:r>
              <w:rPr>
                <w:rFonts w:hint="eastAsia" w:ascii="仿宋" w:hAnsi="仿宋" w:eastAsia="仿宋" w:cs="仿宋"/>
              </w:rPr>
              <w:t>杨雨</w:t>
            </w:r>
          </w:p>
        </w:tc>
        <w:tc>
          <w:tcPr>
            <w:tcW w:w="1025" w:type="dxa"/>
            <w:vAlign w:val="center"/>
          </w:tcPr>
          <w:p>
            <w:pPr>
              <w:rPr>
                <w:rFonts w:ascii="仿宋" w:hAnsi="仿宋" w:eastAsia="仿宋" w:cs="仿宋"/>
              </w:rPr>
            </w:pPr>
            <w:r>
              <w:rPr>
                <w:rFonts w:hint="eastAsia" w:ascii="仿宋" w:hAnsi="仿宋" w:eastAsia="仿宋" w:cs="仿宋"/>
              </w:rPr>
              <w:t>本科</w:t>
            </w:r>
          </w:p>
        </w:tc>
        <w:tc>
          <w:tcPr>
            <w:tcW w:w="1850" w:type="dxa"/>
            <w:vAlign w:val="center"/>
          </w:tcPr>
          <w:p>
            <w:pPr>
              <w:rPr>
                <w:rFonts w:ascii="仿宋" w:hAnsi="仿宋" w:eastAsia="仿宋" w:cs="仿宋"/>
              </w:rPr>
            </w:pPr>
            <w:r>
              <w:rPr>
                <w:rFonts w:hint="eastAsia" w:ascii="仿宋" w:hAnsi="仿宋" w:eastAsia="仿宋" w:cs="仿宋"/>
              </w:rPr>
              <w:t>一级讲师</w:t>
            </w:r>
          </w:p>
        </w:tc>
        <w:tc>
          <w:tcPr>
            <w:tcW w:w="2565" w:type="dxa"/>
            <w:vAlign w:val="center"/>
          </w:tcPr>
          <w:p>
            <w:pPr>
              <w:rPr>
                <w:rFonts w:ascii="仿宋" w:hAnsi="仿宋" w:eastAsia="仿宋" w:cs="仿宋"/>
              </w:rPr>
            </w:pPr>
            <w:r>
              <w:rPr>
                <w:rFonts w:hint="eastAsia" w:ascii="仿宋" w:hAnsi="仿宋" w:eastAsia="仿宋" w:cs="仿宋"/>
              </w:rPr>
              <w:t>二维动画</w:t>
            </w:r>
          </w:p>
        </w:tc>
        <w:tc>
          <w:tcPr>
            <w:tcW w:w="1433" w:type="dxa"/>
            <w:vAlign w:val="center"/>
          </w:tcPr>
          <w:p>
            <w:pPr>
              <w:rPr>
                <w:rFonts w:ascii="仿宋" w:hAnsi="仿宋" w:eastAsia="仿宋" w:cs="仿宋"/>
              </w:rPr>
            </w:pPr>
            <w:r>
              <w:rPr>
                <w:rFonts w:hint="eastAsia" w:ascii="仿宋" w:hAnsi="仿宋" w:eastAsia="仿宋" w:cs="仿宋"/>
              </w:rPr>
              <w:t>中教高科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6" w:type="dxa"/>
            <w:vAlign w:val="center"/>
          </w:tcPr>
          <w:p>
            <w:pPr>
              <w:jc w:val="center"/>
              <w:rPr>
                <w:rFonts w:ascii="仿宋" w:hAnsi="仿宋" w:eastAsia="仿宋" w:cs="仿宋"/>
              </w:rPr>
            </w:pPr>
            <w:r>
              <w:rPr>
                <w:rFonts w:hint="eastAsia" w:ascii="仿宋" w:hAnsi="仿宋" w:eastAsia="仿宋" w:cs="仿宋"/>
              </w:rPr>
              <w:t>7</w:t>
            </w:r>
          </w:p>
        </w:tc>
        <w:tc>
          <w:tcPr>
            <w:tcW w:w="1253" w:type="dxa"/>
            <w:vAlign w:val="center"/>
          </w:tcPr>
          <w:p>
            <w:pPr>
              <w:rPr>
                <w:rFonts w:ascii="仿宋" w:hAnsi="仿宋" w:eastAsia="仿宋" w:cs="仿宋"/>
              </w:rPr>
            </w:pPr>
            <w:r>
              <w:rPr>
                <w:rFonts w:hint="eastAsia" w:ascii="仿宋" w:hAnsi="仿宋" w:eastAsia="仿宋" w:cs="仿宋"/>
              </w:rPr>
              <w:t>王艳军</w:t>
            </w:r>
          </w:p>
        </w:tc>
        <w:tc>
          <w:tcPr>
            <w:tcW w:w="1025" w:type="dxa"/>
            <w:vAlign w:val="center"/>
          </w:tcPr>
          <w:p>
            <w:pPr>
              <w:rPr>
                <w:rFonts w:ascii="仿宋" w:hAnsi="仿宋" w:eastAsia="仿宋" w:cs="仿宋"/>
              </w:rPr>
            </w:pPr>
            <w:r>
              <w:rPr>
                <w:rFonts w:hint="eastAsia" w:ascii="仿宋" w:hAnsi="仿宋" w:eastAsia="仿宋" w:cs="仿宋"/>
              </w:rPr>
              <w:t>本科</w:t>
            </w:r>
          </w:p>
        </w:tc>
        <w:tc>
          <w:tcPr>
            <w:tcW w:w="1850" w:type="dxa"/>
            <w:vAlign w:val="center"/>
          </w:tcPr>
          <w:p>
            <w:pPr>
              <w:rPr>
                <w:rFonts w:ascii="仿宋" w:hAnsi="仿宋" w:eastAsia="仿宋" w:cs="仿宋"/>
              </w:rPr>
            </w:pPr>
            <w:r>
              <w:rPr>
                <w:rFonts w:hint="eastAsia" w:ascii="仿宋" w:hAnsi="仿宋" w:eastAsia="仿宋" w:cs="仿宋"/>
              </w:rPr>
              <w:t>一级讲师</w:t>
            </w:r>
          </w:p>
        </w:tc>
        <w:tc>
          <w:tcPr>
            <w:tcW w:w="2565" w:type="dxa"/>
            <w:vAlign w:val="center"/>
          </w:tcPr>
          <w:p>
            <w:pPr>
              <w:rPr>
                <w:rFonts w:ascii="仿宋" w:hAnsi="仿宋" w:eastAsia="仿宋" w:cs="仿宋"/>
              </w:rPr>
            </w:pPr>
            <w:r>
              <w:rPr>
                <w:rFonts w:hint="eastAsia" w:ascii="仿宋" w:hAnsi="仿宋" w:eastAsia="仿宋" w:cs="仿宋"/>
              </w:rPr>
              <w:t>AE/PS/AI</w:t>
            </w:r>
          </w:p>
        </w:tc>
        <w:tc>
          <w:tcPr>
            <w:tcW w:w="1433" w:type="dxa"/>
            <w:vAlign w:val="center"/>
          </w:tcPr>
          <w:p>
            <w:pPr>
              <w:rPr>
                <w:rFonts w:ascii="仿宋" w:hAnsi="仿宋" w:eastAsia="仿宋" w:cs="仿宋"/>
              </w:rPr>
            </w:pPr>
            <w:r>
              <w:rPr>
                <w:rFonts w:hint="eastAsia" w:ascii="仿宋" w:hAnsi="仿宋" w:eastAsia="仿宋" w:cs="仿宋"/>
              </w:rPr>
              <w:t>中教高科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hint="eastAsia" w:ascii="仿宋" w:hAnsi="仿宋" w:eastAsia="仿宋" w:cs="仿宋"/>
              </w:rPr>
              <w:t>8</w:t>
            </w:r>
          </w:p>
        </w:tc>
        <w:tc>
          <w:tcPr>
            <w:tcW w:w="1253" w:type="dxa"/>
            <w:vAlign w:val="center"/>
          </w:tcPr>
          <w:p>
            <w:pPr>
              <w:rPr>
                <w:rFonts w:ascii="仿宋" w:hAnsi="仿宋" w:eastAsia="仿宋" w:cs="仿宋"/>
              </w:rPr>
            </w:pPr>
            <w:r>
              <w:rPr>
                <w:rFonts w:hint="eastAsia" w:ascii="仿宋" w:hAnsi="仿宋" w:eastAsia="仿宋" w:cs="仿宋"/>
              </w:rPr>
              <w:t>刘洪涛</w:t>
            </w:r>
          </w:p>
        </w:tc>
        <w:tc>
          <w:tcPr>
            <w:tcW w:w="1025" w:type="dxa"/>
            <w:vAlign w:val="center"/>
          </w:tcPr>
          <w:p>
            <w:pPr>
              <w:rPr>
                <w:rFonts w:ascii="仿宋" w:hAnsi="仿宋" w:eastAsia="仿宋" w:cs="仿宋"/>
              </w:rPr>
            </w:pPr>
            <w:r>
              <w:rPr>
                <w:rFonts w:hint="eastAsia" w:ascii="仿宋" w:hAnsi="仿宋" w:eastAsia="仿宋" w:cs="仿宋"/>
              </w:rPr>
              <w:t>本科</w:t>
            </w:r>
          </w:p>
        </w:tc>
        <w:tc>
          <w:tcPr>
            <w:tcW w:w="1850" w:type="dxa"/>
            <w:vAlign w:val="center"/>
          </w:tcPr>
          <w:p>
            <w:pPr>
              <w:rPr>
                <w:rFonts w:ascii="仿宋" w:hAnsi="仿宋" w:eastAsia="仿宋" w:cs="仿宋"/>
              </w:rPr>
            </w:pPr>
            <w:r>
              <w:rPr>
                <w:rFonts w:hint="eastAsia" w:ascii="仿宋" w:hAnsi="仿宋" w:eastAsia="仿宋" w:cs="仿宋"/>
              </w:rPr>
              <w:t>一级讲师</w:t>
            </w:r>
          </w:p>
        </w:tc>
        <w:tc>
          <w:tcPr>
            <w:tcW w:w="2565" w:type="dxa"/>
            <w:vAlign w:val="center"/>
          </w:tcPr>
          <w:p>
            <w:pPr>
              <w:rPr>
                <w:rFonts w:ascii="仿宋" w:hAnsi="仿宋" w:eastAsia="仿宋" w:cs="仿宋"/>
              </w:rPr>
            </w:pPr>
            <w:r>
              <w:rPr>
                <w:rFonts w:hint="eastAsia" w:ascii="仿宋" w:hAnsi="仿宋" w:eastAsia="仿宋" w:cs="仿宋"/>
              </w:rPr>
              <w:t>PS/AI</w:t>
            </w:r>
          </w:p>
        </w:tc>
        <w:tc>
          <w:tcPr>
            <w:tcW w:w="1433" w:type="dxa"/>
            <w:vAlign w:val="center"/>
          </w:tcPr>
          <w:p>
            <w:pPr>
              <w:rPr>
                <w:rFonts w:ascii="仿宋" w:hAnsi="仿宋" w:eastAsia="仿宋" w:cs="仿宋"/>
              </w:rPr>
            </w:pPr>
            <w:r>
              <w:rPr>
                <w:rFonts w:hint="eastAsia" w:ascii="仿宋" w:hAnsi="仿宋" w:eastAsia="仿宋" w:cs="仿宋"/>
              </w:rPr>
              <w:t>中教高科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hint="eastAsia" w:ascii="仿宋" w:hAnsi="仿宋" w:eastAsia="仿宋" w:cs="仿宋"/>
              </w:rPr>
              <w:t>9</w:t>
            </w:r>
          </w:p>
        </w:tc>
        <w:tc>
          <w:tcPr>
            <w:tcW w:w="1253" w:type="dxa"/>
            <w:vAlign w:val="center"/>
          </w:tcPr>
          <w:p>
            <w:pPr>
              <w:rPr>
                <w:rFonts w:ascii="仿宋" w:hAnsi="仿宋" w:eastAsia="仿宋" w:cs="仿宋"/>
              </w:rPr>
            </w:pPr>
            <w:r>
              <w:rPr>
                <w:rFonts w:hint="eastAsia" w:ascii="仿宋" w:hAnsi="仿宋" w:eastAsia="仿宋" w:cs="仿宋"/>
              </w:rPr>
              <w:t>邵雅杰</w:t>
            </w:r>
          </w:p>
        </w:tc>
        <w:tc>
          <w:tcPr>
            <w:tcW w:w="1025" w:type="dxa"/>
            <w:vAlign w:val="center"/>
          </w:tcPr>
          <w:p>
            <w:pPr>
              <w:rPr>
                <w:rFonts w:ascii="仿宋" w:hAnsi="仿宋" w:eastAsia="仿宋" w:cs="仿宋"/>
              </w:rPr>
            </w:pPr>
            <w:r>
              <w:rPr>
                <w:rFonts w:hint="eastAsia" w:ascii="仿宋" w:hAnsi="仿宋" w:eastAsia="仿宋" w:cs="仿宋"/>
              </w:rPr>
              <w:t>本科</w:t>
            </w:r>
          </w:p>
        </w:tc>
        <w:tc>
          <w:tcPr>
            <w:tcW w:w="1850" w:type="dxa"/>
            <w:vAlign w:val="center"/>
          </w:tcPr>
          <w:p>
            <w:pPr>
              <w:rPr>
                <w:rFonts w:ascii="仿宋" w:hAnsi="仿宋" w:eastAsia="仿宋" w:cs="仿宋"/>
              </w:rPr>
            </w:pPr>
            <w:r>
              <w:rPr>
                <w:rFonts w:hint="eastAsia" w:ascii="仿宋" w:hAnsi="仿宋" w:eastAsia="仿宋" w:cs="仿宋"/>
              </w:rPr>
              <w:t>一级讲师</w:t>
            </w:r>
          </w:p>
        </w:tc>
        <w:tc>
          <w:tcPr>
            <w:tcW w:w="2565" w:type="dxa"/>
            <w:vAlign w:val="center"/>
          </w:tcPr>
          <w:p>
            <w:pPr>
              <w:rPr>
                <w:rFonts w:ascii="仿宋" w:hAnsi="仿宋" w:eastAsia="仿宋" w:cs="仿宋"/>
              </w:rPr>
            </w:pPr>
            <w:r>
              <w:rPr>
                <w:rFonts w:hint="eastAsia" w:ascii="仿宋" w:hAnsi="仿宋" w:eastAsia="仿宋" w:cs="仿宋"/>
              </w:rPr>
              <w:t>PR/AE</w:t>
            </w:r>
          </w:p>
        </w:tc>
        <w:tc>
          <w:tcPr>
            <w:tcW w:w="1433" w:type="dxa"/>
            <w:vAlign w:val="center"/>
          </w:tcPr>
          <w:p>
            <w:pPr>
              <w:rPr>
                <w:rFonts w:ascii="仿宋" w:hAnsi="仿宋" w:eastAsia="仿宋" w:cs="仿宋"/>
              </w:rPr>
            </w:pPr>
            <w:r>
              <w:rPr>
                <w:rFonts w:hint="eastAsia" w:ascii="仿宋" w:hAnsi="仿宋" w:eastAsia="仿宋" w:cs="仿宋"/>
              </w:rPr>
              <w:t>中教高科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jc w:val="center"/>
              <w:rPr>
                <w:rFonts w:ascii="仿宋" w:hAnsi="仿宋" w:eastAsia="仿宋" w:cs="仿宋"/>
              </w:rPr>
            </w:pPr>
            <w:r>
              <w:rPr>
                <w:rFonts w:hint="eastAsia" w:ascii="仿宋" w:hAnsi="仿宋" w:eastAsia="仿宋" w:cs="仿宋"/>
              </w:rPr>
              <w:t>10</w:t>
            </w:r>
          </w:p>
        </w:tc>
        <w:tc>
          <w:tcPr>
            <w:tcW w:w="1253" w:type="dxa"/>
            <w:vAlign w:val="center"/>
          </w:tcPr>
          <w:p>
            <w:pPr>
              <w:rPr>
                <w:rFonts w:ascii="仿宋" w:hAnsi="仿宋" w:eastAsia="仿宋" w:cs="仿宋"/>
              </w:rPr>
            </w:pPr>
            <w:r>
              <w:rPr>
                <w:rFonts w:hint="eastAsia" w:ascii="仿宋" w:hAnsi="仿宋" w:eastAsia="仿宋" w:cs="仿宋"/>
              </w:rPr>
              <w:t>杜浩</w:t>
            </w:r>
          </w:p>
        </w:tc>
        <w:tc>
          <w:tcPr>
            <w:tcW w:w="1025" w:type="dxa"/>
            <w:vAlign w:val="center"/>
          </w:tcPr>
          <w:p>
            <w:pPr>
              <w:rPr>
                <w:rFonts w:ascii="仿宋" w:hAnsi="仿宋" w:eastAsia="仿宋" w:cs="仿宋"/>
              </w:rPr>
            </w:pPr>
            <w:r>
              <w:rPr>
                <w:rFonts w:hint="eastAsia" w:ascii="仿宋" w:hAnsi="仿宋" w:eastAsia="仿宋" w:cs="仿宋"/>
              </w:rPr>
              <w:t>专科</w:t>
            </w:r>
          </w:p>
        </w:tc>
        <w:tc>
          <w:tcPr>
            <w:tcW w:w="1850" w:type="dxa"/>
            <w:vAlign w:val="center"/>
          </w:tcPr>
          <w:p>
            <w:pPr>
              <w:rPr>
                <w:rFonts w:ascii="仿宋" w:hAnsi="仿宋" w:eastAsia="仿宋" w:cs="仿宋"/>
              </w:rPr>
            </w:pPr>
            <w:r>
              <w:rPr>
                <w:rFonts w:hint="eastAsia" w:ascii="仿宋" w:hAnsi="仿宋" w:eastAsia="仿宋" w:cs="仿宋"/>
              </w:rPr>
              <w:t>一级讲师</w:t>
            </w:r>
          </w:p>
        </w:tc>
        <w:tc>
          <w:tcPr>
            <w:tcW w:w="2565" w:type="dxa"/>
            <w:vAlign w:val="center"/>
          </w:tcPr>
          <w:p>
            <w:pPr>
              <w:rPr>
                <w:rFonts w:ascii="仿宋" w:hAnsi="仿宋" w:eastAsia="仿宋" w:cs="仿宋"/>
              </w:rPr>
            </w:pPr>
            <w:r>
              <w:rPr>
                <w:rFonts w:hint="eastAsia" w:ascii="仿宋" w:hAnsi="仿宋" w:eastAsia="仿宋" w:cs="仿宋"/>
              </w:rPr>
              <w:t>3DMAX/CAD</w:t>
            </w:r>
          </w:p>
        </w:tc>
        <w:tc>
          <w:tcPr>
            <w:tcW w:w="1433" w:type="dxa"/>
            <w:vAlign w:val="center"/>
          </w:tcPr>
          <w:p>
            <w:pPr>
              <w:rPr>
                <w:rFonts w:ascii="仿宋" w:hAnsi="仿宋" w:eastAsia="仿宋" w:cs="仿宋"/>
              </w:rPr>
            </w:pPr>
            <w:r>
              <w:rPr>
                <w:rFonts w:hint="eastAsia" w:ascii="仿宋" w:hAnsi="仿宋" w:eastAsia="仿宋" w:cs="仿宋"/>
              </w:rPr>
              <w:t>中教高科</w:t>
            </w:r>
          </w:p>
        </w:tc>
      </w:tr>
    </w:tbl>
    <w:p>
      <w:pPr>
        <w:spacing w:line="360" w:lineRule="auto"/>
        <w:ind w:firstLine="480" w:firstLineChars="200"/>
        <w:rPr>
          <w:rFonts w:ascii="仿宋" w:hAnsi="仿宋" w:eastAsia="仿宋"/>
          <w:sz w:val="24"/>
        </w:rPr>
      </w:pPr>
      <w:r>
        <w:rPr>
          <w:rFonts w:hint="eastAsia" w:ascii="仿宋" w:hAnsi="仿宋" w:eastAsia="仿宋"/>
          <w:sz w:val="24"/>
        </w:rPr>
        <w:t>计算机应用团队数字媒体课程组共有教师10其中讲师5人、高级讲师4人。全部为本、专科以上学历，其中本科8人、硕士研究生1人，专科1人，双师型教师60%,该团队年龄结构合理、学历结构科学，专业技术过硬，具有丰富的教学经验。</w:t>
      </w:r>
    </w:p>
    <w:p>
      <w:pPr>
        <w:spacing w:line="360" w:lineRule="auto"/>
        <w:ind w:firstLine="480" w:firstLineChars="200"/>
        <w:jc w:val="left"/>
        <w:rPr>
          <w:rFonts w:ascii="仿宋" w:hAnsi="仿宋" w:eastAsia="仿宋"/>
          <w:sz w:val="24"/>
        </w:rPr>
      </w:pPr>
      <w:r>
        <w:rPr>
          <w:rFonts w:hint="eastAsia" w:ascii="仿宋" w:hAnsi="仿宋" w:eastAsia="仿宋"/>
          <w:sz w:val="24"/>
        </w:rPr>
        <w:t>企业人员及兼职教师共8人，其中企业人员拥有丰富的实践经验，能为数字媒体专业教育教学工作提供实践性的指导。并与</w:t>
      </w:r>
      <w:r>
        <w:rPr>
          <w:rFonts w:hint="eastAsia" w:ascii="仿宋" w:hAnsi="仿宋" w:eastAsia="仿宋"/>
          <w:bCs/>
          <w:sz w:val="24"/>
        </w:rPr>
        <w:t>赤峰三和影视传媒有限责任公司、赤峰正阳影视、赤峰天罡影视、赤峰中艺影音工作室、天津中教高科科技有限公司等</w:t>
      </w:r>
      <w:r>
        <w:rPr>
          <w:rFonts w:ascii="仿宋" w:hAnsi="仿宋" w:eastAsia="仿宋"/>
          <w:bCs/>
          <w:sz w:val="24"/>
        </w:rPr>
        <w:t>5</w:t>
      </w:r>
      <w:r>
        <w:rPr>
          <w:rFonts w:hint="eastAsia" w:ascii="仿宋" w:hAnsi="仿宋" w:eastAsia="仿宋"/>
          <w:bCs/>
          <w:sz w:val="24"/>
        </w:rPr>
        <w:t>家企业建立了稳定的校外实训基地，与这些企业在人才培养方案制订、理论和实践课程教学、面向社会和行业开展职业转岗培训、劳动力转移培训、校企人员互兼互聘、产业技术课题研究、项目推广与技术服务等多方面进行了紧密合作，为学生校外顶岗实习提供平台，形成了以职业岗位作业流程为主导的实训模式</w:t>
      </w:r>
      <w:r>
        <w:rPr>
          <w:rFonts w:hint="eastAsia" w:ascii="仿宋" w:hAnsi="仿宋" w:eastAsia="仿宋"/>
          <w:sz w:val="24"/>
        </w:rPr>
        <w:t>。</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（二）教学设施</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校内主要实训基地：本系现有多媒体计算机房3个、计算机硬件实训室1个、网络实训室1个；校园网络中心、校园广播站等教学实训场所，能够满足学生在校实习实训要求。</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校外主要实习基地：学院与多家企业建立长期校外实训基地，依托行业与技术和管理水平，形成校内实训基地的有效补充。为学生生产性实训和顶岗实习、专业教师的“双师”素质培养提供场所，为专业课程建设提供软资源支持和保障。</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已建立的校外实习基地有：</w:t>
      </w:r>
      <w:r>
        <w:rPr>
          <w:rFonts w:hint="eastAsia" w:ascii="仿宋" w:hAnsi="仿宋" w:eastAsia="仿宋"/>
          <w:bCs/>
          <w:sz w:val="24"/>
        </w:rPr>
        <w:t>赤峰三和影视传媒有限责任公司、赤峰正阳影视、赤峰雷利影视、赤峰彩艺影视盛宴、赤峰天罡影视、赤峰中艺影音工作室、</w:t>
      </w:r>
      <w:r>
        <w:rPr>
          <w:rFonts w:hint="eastAsia" w:ascii="仿宋_GB2312" w:hAnsi="仿宋" w:eastAsia="仿宋_GB2312"/>
          <w:color w:val="000000"/>
          <w:sz w:val="24"/>
        </w:rPr>
        <w:t>中教高科技术有限公司</w:t>
      </w:r>
      <w:r>
        <w:rPr>
          <w:rFonts w:hint="eastAsia" w:ascii="仿宋" w:hAnsi="仿宋" w:eastAsia="仿宋"/>
          <w:bCs/>
          <w:sz w:val="24"/>
        </w:rPr>
        <w:t>等7家企业建立了稳定的校外实训基地，与这些企业在人才培养方案制订、理论和实践课程教学、面向社会和行业开展职业转岗培训、劳动力转移培训、校企人员互兼互聘、产业技术课题研究、项目推广与技术服务等多方面进行了紧密合作，为学生校外顶岗实习提供平台，形成了以职业岗位作业流程为主导的实训模式</w:t>
      </w:r>
      <w:r>
        <w:rPr>
          <w:rFonts w:hint="eastAsia" w:ascii="仿宋" w:hAnsi="仿宋" w:eastAsia="仿宋"/>
          <w:sz w:val="24"/>
        </w:rPr>
        <w:t>。</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（三）教学资源</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1.教材选用情况</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有专业课程教材建设计划，重视重点（优质）课程建设和课程教材内容的更新，教材内容符合专业培养标要求。必修课优先选用高职高专推荐教材或规划教材，使用教育部高职高专优秀（或规划）教材和自编教材及讲义</w:t>
      </w:r>
      <w:r>
        <w:rPr>
          <w:rFonts w:ascii="Arial" w:hAnsi="Arial" w:eastAsia="仿宋_GB2312" w:cs="Arial"/>
          <w:color w:val="000000"/>
          <w:sz w:val="24"/>
        </w:rPr>
        <w:t>≥</w:t>
      </w:r>
      <w:r>
        <w:rPr>
          <w:rFonts w:hint="eastAsia" w:ascii="仿宋_GB2312" w:hAnsi="仿宋" w:eastAsia="仿宋_GB2312"/>
          <w:color w:val="000000"/>
          <w:sz w:val="24"/>
        </w:rPr>
        <w:t>80%.重视自编教材建设，自编教材内容要符合教学要求，经专家鉴定同意使用；实验实训课时比重较大的专业核心课程必须有相对独立的实验、实训指导教材。</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2.图书配备情况</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图书、文献配备能满足人才培养、专业建设、教科研等工作的需要，方便师生查询、借阅。积极利用课程网站、电子书籍、电子期刊、数字图书馆、各大专业网站等网络资源，使教学内容从单一化向多元化转变，使学生知识和能力的拓展成为可能。</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3.</w:t>
      </w:r>
      <w:r>
        <w:rPr>
          <w:rFonts w:ascii="仿宋_GB2312" w:hAnsi="仿宋" w:eastAsia="仿宋_GB2312"/>
          <w:color w:val="000000"/>
          <w:sz w:val="24"/>
        </w:rPr>
        <w:t xml:space="preserve"> </w:t>
      </w:r>
      <w:r>
        <w:rPr>
          <w:rFonts w:hint="eastAsia" w:ascii="仿宋_GB2312" w:hAnsi="仿宋" w:eastAsia="仿宋_GB2312"/>
          <w:color w:val="000000"/>
          <w:sz w:val="24"/>
        </w:rPr>
        <w:t>数字（网络）化资源配备情况</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建设、配备与本专业有关的音视频素材、教学课件、数字化教学案例库、虚拟仿真软件、数字教材等专业教学资源库，种类丰富、形式多样、使用便捷，能满足教学。</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（四）教学方法</w:t>
      </w:r>
    </w:p>
    <w:p>
      <w:pPr>
        <w:spacing w:line="360" w:lineRule="auto"/>
        <w:ind w:left="-23" w:firstLine="480" w:firstLineChars="200"/>
        <w:rPr>
          <w:rFonts w:hint="eastAsia" w:ascii="仿宋_GB2312" w:hAnsi="仿宋" w:eastAsia="仿宋_GB2312"/>
          <w:b/>
          <w:color w:val="000000"/>
          <w:sz w:val="24"/>
        </w:rPr>
      </w:pPr>
      <w:r>
        <w:rPr>
          <w:rFonts w:hint="eastAsia" w:ascii="仿宋" w:hAnsi="仿宋" w:eastAsia="仿宋"/>
          <w:sz w:val="24"/>
        </w:rPr>
        <w:t>在教学过程中，“以学生为中心”，因材施教。突出职业能力培养，通过模拟实训环境，利用多媒体、系统软件、仿真教学和企业实习等教学手段，有效地激发学生兴趣，提高课堂教学效果。使用</w:t>
      </w:r>
      <w:r>
        <w:rPr>
          <w:rFonts w:hint="eastAsia" w:ascii="仿宋_GB2312" w:hAnsi="仿宋" w:eastAsia="仿宋_GB2312"/>
          <w:color w:val="000000"/>
          <w:sz w:val="24"/>
        </w:rPr>
        <w:t>案例教学、项目教学</w:t>
      </w:r>
      <w:r>
        <w:rPr>
          <w:rFonts w:hint="eastAsia" w:ascii="仿宋" w:hAnsi="仿宋" w:eastAsia="仿宋"/>
          <w:sz w:val="24"/>
        </w:rPr>
        <w:t>、情境教学</w:t>
      </w:r>
      <w:r>
        <w:rPr>
          <w:rFonts w:hint="eastAsia" w:ascii="仿宋_GB2312" w:hAnsi="仿宋" w:eastAsia="仿宋_GB2312"/>
          <w:color w:val="000000"/>
          <w:sz w:val="24"/>
        </w:rPr>
        <w:t>、任务驱动教学</w:t>
      </w:r>
      <w:r>
        <w:rPr>
          <w:rFonts w:hint="eastAsia" w:ascii="仿宋" w:hAnsi="仿宋" w:eastAsia="仿宋"/>
          <w:sz w:val="24"/>
        </w:rPr>
        <w:t>、</w:t>
      </w:r>
      <w:r>
        <w:rPr>
          <w:rFonts w:hint="eastAsia" w:ascii="仿宋_GB2312" w:hAnsi="仿宋" w:eastAsia="仿宋_GB2312"/>
          <w:color w:val="000000"/>
          <w:sz w:val="24"/>
        </w:rPr>
        <w:t>探究教学、分组教学、</w:t>
      </w:r>
      <w:r>
        <w:rPr>
          <w:rFonts w:hint="eastAsia" w:ascii="仿宋" w:hAnsi="仿宋" w:eastAsia="仿宋"/>
          <w:sz w:val="24"/>
        </w:rPr>
        <w:t>启发式教学等</w:t>
      </w:r>
      <w:r>
        <w:rPr>
          <w:rFonts w:ascii="仿宋" w:hAnsi="仿宋" w:eastAsia="仿宋"/>
          <w:sz w:val="24"/>
        </w:rPr>
        <w:t>方</w:t>
      </w:r>
      <w:r>
        <w:rPr>
          <w:rFonts w:hint="eastAsia" w:ascii="仿宋" w:hAnsi="仿宋" w:eastAsia="仿宋"/>
          <w:sz w:val="24"/>
        </w:rPr>
        <w:t>法</w:t>
      </w:r>
      <w:r>
        <w:rPr>
          <w:rFonts w:hint="eastAsia" w:ascii="仿宋_GB2312" w:hAnsi="仿宋" w:eastAsia="仿宋_GB2312"/>
          <w:color w:val="000000"/>
          <w:sz w:val="24"/>
        </w:rPr>
        <w:t>，提高课堂吸引力。</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（五）学习评价</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1.课程考核评价</w:t>
      </w:r>
    </w:p>
    <w:p>
      <w:pPr>
        <w:spacing w:line="360" w:lineRule="auto"/>
        <w:ind w:left="-23" w:firstLine="480" w:firstLineChars="200"/>
        <w:rPr>
          <w:rFonts w:hint="eastAsia" w:ascii="仿宋_GB2312" w:hAnsi="仿宋" w:eastAsia="仿宋_GB2312"/>
          <w:color w:val="000000"/>
          <w:sz w:val="24"/>
        </w:rPr>
      </w:pPr>
      <w:r>
        <w:rPr>
          <w:rFonts w:hint="eastAsia" w:ascii="仿宋_GB2312" w:hAnsi="仿宋" w:eastAsia="仿宋_GB2312"/>
          <w:color w:val="000000"/>
          <w:sz w:val="24"/>
        </w:rPr>
        <w:t>以理论为主的课程可采取笔试、现场操作和技能考核等相结合的方式，以考查学生对知识和技能的掌握情况及运用专业知识分析解决实际问题的能力；以实践为主的专业基础课程和专业核心课程，要注重过程评价和结果评价。</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2.实习实训考核评价</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实习（训）的考核以校内外的考核与鉴定、撰写的实习（训）报告、实习（训）日志等为主要依据。</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w:t>
      </w:r>
      <w:r>
        <w:rPr>
          <w:rFonts w:hint="eastAsia" w:ascii="仿宋_GB2312" w:hAnsi="仿宋" w:eastAsia="仿宋_GB2312"/>
          <w:b/>
          <w:color w:val="000000"/>
          <w:sz w:val="24"/>
          <w:lang w:eastAsia="zh-CN"/>
        </w:rPr>
        <w:t>六</w:t>
      </w:r>
      <w:r>
        <w:rPr>
          <w:rFonts w:hint="eastAsia" w:ascii="仿宋_GB2312" w:hAnsi="仿宋" w:eastAsia="仿宋_GB2312"/>
          <w:b/>
          <w:color w:val="000000"/>
          <w:sz w:val="24"/>
        </w:rPr>
        <w:t>）质量管理</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1.督导听评课制度</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督导人员通过深入教学第一线，到课堂、实验、实训室听课，了解日常教学状况、效果、学生掌握知识和能力的程度，对教师的教学评议、对教学管理的成效评议，将好的做法和发现的问题及时进行反馈。</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2.教学检查制度</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教学检查主要由教务处进行经常性的教学检查和阶段性的教学检查组成。通过经常性和阶段性教学检查，全面了解教师教学情况，及时发现问题，解决问题。</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3.反馈调节改进</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专业应建立持续改进机制，充分利用学生评教、管理人员听课、督导评教、同行评议、毕业生和社会用人单位评价等教学评价反馈信息，针对教学质量存在的问题和薄弱环节，采取有效的预防与纠正措施，持续推动专业教学标准、专业人才培 养模式、课程设置和教学方法、手段等改革；完善教学规划与管理制度；调整优化教学资源配置；加强教学工作整改建设力度；不断提升教学质量。</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十、毕业要求</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需同时达到以下要求，方可毕业：</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（一）思想道德考核合格，所有纪律处分影响期已经解除。</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（二）</w:t>
      </w:r>
      <w:r>
        <w:rPr>
          <w:rFonts w:hint="eastAsia" w:ascii="仿宋" w:hAnsi="仿宋" w:eastAsia="仿宋"/>
          <w:bCs/>
          <w:color w:val="000000"/>
          <w:sz w:val="24"/>
        </w:rPr>
        <w:t>课程要求：所有必修课程</w:t>
      </w:r>
      <w:r>
        <w:rPr>
          <w:rFonts w:hint="eastAsia" w:ascii="仿宋_GB2312" w:hAnsi="仿宋" w:eastAsia="仿宋_GB2312"/>
          <w:color w:val="000000"/>
          <w:sz w:val="24"/>
        </w:rPr>
        <w:t>和限制性选修课程</w:t>
      </w:r>
      <w:r>
        <w:rPr>
          <w:rFonts w:hint="eastAsia" w:ascii="仿宋" w:hAnsi="仿宋" w:eastAsia="仿宋"/>
          <w:bCs/>
          <w:color w:val="000000"/>
          <w:sz w:val="24"/>
        </w:rPr>
        <w:t>考核合格。</w:t>
      </w:r>
      <w:r>
        <w:rPr>
          <w:rFonts w:ascii="仿宋_GB2312" w:hAnsi="仿宋" w:eastAsia="仿宋_GB2312"/>
          <w:color w:val="000000"/>
          <w:sz w:val="24"/>
        </w:rPr>
        <w:t xml:space="preserve"> </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（三）各专项学分需达到以下要求：</w:t>
      </w:r>
    </w:p>
    <w:tbl>
      <w:tblPr>
        <w:tblStyle w:val="6"/>
        <w:tblW w:w="8647"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985"/>
        <w:gridCol w:w="2126"/>
        <w:gridCol w:w="2126"/>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992" w:type="dxa"/>
            <w:vMerge w:val="restart"/>
            <w:noWrap/>
            <w:vAlign w:val="center"/>
          </w:tcPr>
          <w:p>
            <w:pPr>
              <w:spacing w:line="240" w:lineRule="exact"/>
              <w:jc w:val="left"/>
              <w:rPr>
                <w:rFonts w:ascii="仿宋" w:hAnsi="仿宋" w:eastAsia="仿宋"/>
                <w:color w:val="000000"/>
                <w:szCs w:val="21"/>
              </w:rPr>
            </w:pPr>
            <w:r>
              <w:rPr>
                <w:rFonts w:hint="eastAsia" w:ascii="仿宋" w:hAnsi="仿宋" w:eastAsia="仿宋"/>
                <w:color w:val="000000"/>
                <w:szCs w:val="21"/>
              </w:rPr>
              <w:t>总学分</w:t>
            </w:r>
          </w:p>
        </w:tc>
        <w:tc>
          <w:tcPr>
            <w:tcW w:w="4111" w:type="dxa"/>
            <w:gridSpan w:val="2"/>
            <w:noWrap/>
            <w:vAlign w:val="center"/>
          </w:tcPr>
          <w:p>
            <w:pPr>
              <w:spacing w:line="240" w:lineRule="exact"/>
              <w:jc w:val="center"/>
              <w:rPr>
                <w:rFonts w:ascii="仿宋" w:hAnsi="仿宋" w:eastAsia="仿宋"/>
                <w:color w:val="000000"/>
                <w:szCs w:val="21"/>
              </w:rPr>
            </w:pPr>
            <w:r>
              <w:rPr>
                <w:rFonts w:hint="eastAsia" w:ascii="仿宋" w:hAnsi="仿宋" w:eastAsia="仿宋"/>
                <w:color w:val="000000"/>
                <w:szCs w:val="21"/>
              </w:rPr>
              <w:t>课内学分</w:t>
            </w:r>
          </w:p>
        </w:tc>
        <w:tc>
          <w:tcPr>
            <w:tcW w:w="2126" w:type="dxa"/>
            <w:vAlign w:val="center"/>
          </w:tcPr>
          <w:p>
            <w:pPr>
              <w:spacing w:line="240" w:lineRule="exact"/>
              <w:jc w:val="center"/>
              <w:rPr>
                <w:rFonts w:ascii="仿宋" w:hAnsi="仿宋" w:eastAsia="仿宋"/>
                <w:color w:val="000000"/>
                <w:szCs w:val="21"/>
              </w:rPr>
            </w:pPr>
            <w:r>
              <w:rPr>
                <w:rFonts w:hint="eastAsia" w:ascii="仿宋" w:hAnsi="仿宋" w:eastAsia="仿宋"/>
                <w:color w:val="000000"/>
                <w:szCs w:val="21"/>
              </w:rPr>
              <w:t>课外学分</w:t>
            </w:r>
          </w:p>
        </w:tc>
        <w:tc>
          <w:tcPr>
            <w:tcW w:w="1418" w:type="dxa"/>
            <w:vMerge w:val="restart"/>
            <w:noWrap/>
            <w:vAlign w:val="center"/>
          </w:tcPr>
          <w:p>
            <w:pPr>
              <w:spacing w:line="240" w:lineRule="exact"/>
              <w:rPr>
                <w:rFonts w:ascii="仿宋" w:hAnsi="仿宋" w:eastAsia="仿宋"/>
                <w:color w:val="000000"/>
                <w:szCs w:val="21"/>
              </w:rPr>
            </w:pPr>
            <w:r>
              <w:rPr>
                <w:rFonts w:hint="eastAsia" w:ascii="仿宋" w:hAnsi="仿宋" w:eastAsia="仿宋"/>
                <w:color w:val="000000"/>
                <w:szCs w:val="21"/>
              </w:rPr>
              <w:t>所有纪律处分影响期已经解除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Merge w:val="continue"/>
            <w:noWrap/>
            <w:vAlign w:val="center"/>
          </w:tcPr>
          <w:p>
            <w:pPr>
              <w:spacing w:line="240" w:lineRule="exact"/>
              <w:ind w:firstLine="420" w:firstLineChars="200"/>
              <w:rPr>
                <w:rFonts w:ascii="仿宋" w:hAnsi="仿宋" w:eastAsia="仿宋"/>
                <w:color w:val="000000"/>
                <w:szCs w:val="21"/>
              </w:rPr>
            </w:pPr>
          </w:p>
        </w:tc>
        <w:tc>
          <w:tcPr>
            <w:tcW w:w="1985" w:type="dxa"/>
            <w:noWrap/>
            <w:vAlign w:val="center"/>
          </w:tcPr>
          <w:p>
            <w:pPr>
              <w:spacing w:line="240" w:lineRule="exact"/>
              <w:jc w:val="left"/>
              <w:rPr>
                <w:rFonts w:ascii="仿宋" w:hAnsi="仿宋" w:eastAsia="仿宋"/>
                <w:color w:val="000000"/>
                <w:szCs w:val="21"/>
              </w:rPr>
            </w:pPr>
            <w:r>
              <w:rPr>
                <w:rFonts w:hint="eastAsia" w:ascii="仿宋" w:hAnsi="仿宋" w:eastAsia="仿宋"/>
                <w:color w:val="000000"/>
                <w:szCs w:val="21"/>
              </w:rPr>
              <w:t>公共必修与选修课</w:t>
            </w:r>
          </w:p>
        </w:tc>
        <w:tc>
          <w:tcPr>
            <w:tcW w:w="2126" w:type="dxa"/>
            <w:noWrap/>
            <w:vAlign w:val="center"/>
          </w:tcPr>
          <w:p>
            <w:pPr>
              <w:spacing w:line="240" w:lineRule="exact"/>
              <w:rPr>
                <w:rFonts w:ascii="仿宋" w:hAnsi="仿宋" w:eastAsia="仿宋"/>
                <w:color w:val="000000"/>
                <w:szCs w:val="21"/>
              </w:rPr>
            </w:pPr>
            <w:r>
              <w:rPr>
                <w:rFonts w:hint="eastAsia" w:ascii="仿宋" w:hAnsi="仿宋" w:eastAsia="仿宋"/>
                <w:color w:val="000000"/>
                <w:szCs w:val="21"/>
              </w:rPr>
              <w:t>专业必修与选修课</w:t>
            </w:r>
          </w:p>
        </w:tc>
        <w:tc>
          <w:tcPr>
            <w:tcW w:w="2126" w:type="dxa"/>
            <w:noWrap/>
            <w:vAlign w:val="center"/>
          </w:tcPr>
          <w:p>
            <w:pPr>
              <w:spacing w:line="240" w:lineRule="exact"/>
              <w:jc w:val="center"/>
              <w:rPr>
                <w:rFonts w:ascii="仿宋" w:hAnsi="仿宋" w:eastAsia="仿宋"/>
                <w:color w:val="000000"/>
                <w:szCs w:val="21"/>
              </w:rPr>
            </w:pPr>
            <w:r>
              <w:rPr>
                <w:rFonts w:hint="eastAsia" w:ascii="仿宋" w:hAnsi="仿宋" w:eastAsia="仿宋"/>
                <w:color w:val="000000"/>
                <w:szCs w:val="21"/>
              </w:rPr>
              <w:t>思政实践</w:t>
            </w:r>
          </w:p>
        </w:tc>
        <w:tc>
          <w:tcPr>
            <w:tcW w:w="1418" w:type="dxa"/>
            <w:vMerge w:val="continue"/>
            <w:noWrap/>
            <w:vAlign w:val="center"/>
          </w:tcPr>
          <w:p>
            <w:pPr>
              <w:spacing w:line="240" w:lineRule="exact"/>
              <w:ind w:firstLine="420" w:firstLineChars="200"/>
              <w:rPr>
                <w:rFonts w:ascii="仿宋" w:hAnsi="仿宋"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992" w:type="dxa"/>
            <w:noWrap/>
            <w:vAlign w:val="center"/>
          </w:tcPr>
          <w:p>
            <w:pPr>
              <w:spacing w:line="240" w:lineRule="exact"/>
              <w:jc w:val="center"/>
              <w:rPr>
                <w:rFonts w:ascii="仿宋" w:hAnsi="仿宋" w:eastAsia="仿宋"/>
                <w:color w:val="000000"/>
                <w:szCs w:val="21"/>
              </w:rPr>
            </w:pPr>
            <w:r>
              <w:rPr>
                <w:rFonts w:ascii="仿宋" w:hAnsi="仿宋" w:eastAsia="仿宋"/>
                <w:color w:val="000000"/>
                <w:szCs w:val="21"/>
              </w:rPr>
              <w:t>127</w:t>
            </w:r>
          </w:p>
        </w:tc>
        <w:tc>
          <w:tcPr>
            <w:tcW w:w="1985" w:type="dxa"/>
            <w:noWrap/>
            <w:vAlign w:val="center"/>
          </w:tcPr>
          <w:p>
            <w:pPr>
              <w:spacing w:line="240" w:lineRule="exact"/>
              <w:jc w:val="center"/>
              <w:rPr>
                <w:rFonts w:ascii="仿宋" w:hAnsi="仿宋" w:eastAsia="仿宋"/>
                <w:color w:val="000000"/>
                <w:szCs w:val="21"/>
              </w:rPr>
            </w:pPr>
            <w:r>
              <w:rPr>
                <w:rFonts w:ascii="仿宋" w:hAnsi="仿宋" w:eastAsia="仿宋"/>
                <w:color w:val="000000"/>
                <w:szCs w:val="21"/>
              </w:rPr>
              <w:t>42</w:t>
            </w:r>
          </w:p>
        </w:tc>
        <w:tc>
          <w:tcPr>
            <w:tcW w:w="2126" w:type="dxa"/>
            <w:noWrap/>
            <w:vAlign w:val="center"/>
          </w:tcPr>
          <w:p>
            <w:pPr>
              <w:spacing w:line="240" w:lineRule="exact"/>
              <w:jc w:val="center"/>
              <w:rPr>
                <w:rFonts w:ascii="仿宋" w:hAnsi="仿宋" w:eastAsia="仿宋"/>
                <w:color w:val="000000"/>
                <w:szCs w:val="21"/>
              </w:rPr>
            </w:pPr>
            <w:r>
              <w:rPr>
                <w:rFonts w:ascii="仿宋" w:hAnsi="仿宋" w:eastAsia="仿宋"/>
                <w:color w:val="000000"/>
                <w:szCs w:val="21"/>
              </w:rPr>
              <w:t>84</w:t>
            </w:r>
          </w:p>
        </w:tc>
        <w:tc>
          <w:tcPr>
            <w:tcW w:w="2126" w:type="dxa"/>
            <w:noWrap/>
            <w:vAlign w:val="center"/>
          </w:tcPr>
          <w:p>
            <w:pPr>
              <w:spacing w:line="240" w:lineRule="exact"/>
              <w:jc w:val="center"/>
              <w:rPr>
                <w:rFonts w:ascii="仿宋" w:hAnsi="仿宋" w:eastAsia="仿宋"/>
                <w:color w:val="000000"/>
                <w:szCs w:val="21"/>
              </w:rPr>
            </w:pPr>
            <w:r>
              <w:rPr>
                <w:rFonts w:hint="eastAsia" w:ascii="仿宋" w:hAnsi="仿宋" w:eastAsia="仿宋"/>
                <w:color w:val="000000"/>
                <w:szCs w:val="21"/>
              </w:rPr>
              <w:t>1</w:t>
            </w:r>
          </w:p>
        </w:tc>
        <w:tc>
          <w:tcPr>
            <w:tcW w:w="1418" w:type="dxa"/>
            <w:vMerge w:val="continue"/>
            <w:noWrap/>
            <w:vAlign w:val="center"/>
          </w:tcPr>
          <w:p>
            <w:pPr>
              <w:spacing w:line="240" w:lineRule="exact"/>
              <w:ind w:firstLine="420" w:firstLineChars="200"/>
              <w:jc w:val="center"/>
              <w:rPr>
                <w:rFonts w:ascii="仿宋" w:hAnsi="仿宋" w:eastAsia="仿宋"/>
                <w:color w:val="000000"/>
                <w:szCs w:val="21"/>
              </w:rPr>
            </w:pPr>
          </w:p>
        </w:tc>
      </w:tr>
    </w:tbl>
    <w:p>
      <w:pPr>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十一、责任人员</w:t>
      </w:r>
    </w:p>
    <w:p>
      <w:pPr>
        <w:tabs>
          <w:tab w:val="left" w:pos="420"/>
        </w:tabs>
        <w:spacing w:line="360" w:lineRule="auto"/>
        <w:ind w:left="1328" w:leftChars="175" w:hanging="960" w:hangingChars="400"/>
        <w:rPr>
          <w:rFonts w:ascii="仿宋_GB2312" w:hAnsi="仿宋" w:eastAsia="仿宋_GB2312"/>
          <w:color w:val="000000"/>
          <w:sz w:val="24"/>
        </w:rPr>
      </w:pPr>
      <w:r>
        <w:rPr>
          <w:rFonts w:hint="eastAsia" w:ascii="仿宋_GB2312" w:hAnsi="仿宋" w:eastAsia="仿宋_GB2312"/>
          <w:color w:val="000000"/>
          <w:sz w:val="24"/>
        </w:rPr>
        <w:t>主持人：王建华，副教授、教师，赤峰工业职业技术学院，</w:t>
      </w:r>
      <w:r>
        <w:rPr>
          <w:rFonts w:hint="eastAsia" w:ascii="仿宋" w:hAnsi="仿宋" w:eastAsia="仿宋"/>
          <w:color w:val="000000"/>
          <w:sz w:val="24"/>
        </w:rPr>
        <w:t>主持人才培养方案的撰写工作，参与本专业人才培养方案每个模块的修订工作。</w:t>
      </w:r>
    </w:p>
    <w:p>
      <w:pPr>
        <w:tabs>
          <w:tab w:val="left" w:pos="420"/>
        </w:tabs>
        <w:spacing w:line="360" w:lineRule="auto"/>
        <w:ind w:firstLine="420" w:firstLineChars="175"/>
        <w:rPr>
          <w:rFonts w:ascii="仿宋_GB2312" w:hAnsi="仿宋" w:eastAsia="仿宋_GB2312"/>
          <w:color w:val="000000"/>
          <w:sz w:val="24"/>
        </w:rPr>
      </w:pPr>
      <w:r>
        <w:rPr>
          <w:rFonts w:hint="eastAsia" w:ascii="仿宋_GB2312" w:hAnsi="仿宋" w:eastAsia="仿宋_GB2312"/>
          <w:color w:val="000000"/>
          <w:sz w:val="24"/>
        </w:rPr>
        <w:t>成  员：</w:t>
      </w:r>
    </w:p>
    <w:p>
      <w:pPr>
        <w:tabs>
          <w:tab w:val="left" w:pos="420"/>
        </w:tabs>
        <w:spacing w:line="360" w:lineRule="auto"/>
        <w:ind w:firstLine="720" w:firstLineChars="300"/>
        <w:rPr>
          <w:rFonts w:ascii="仿宋_GB2312" w:hAnsi="仿宋" w:eastAsia="仿宋_GB2312"/>
          <w:color w:val="000000"/>
          <w:sz w:val="24"/>
        </w:rPr>
      </w:pPr>
      <w:r>
        <w:rPr>
          <w:rFonts w:hint="eastAsia" w:ascii="仿宋_GB2312" w:hAnsi="仿宋" w:eastAsia="仿宋_GB2312"/>
          <w:color w:val="000000"/>
          <w:sz w:val="24"/>
        </w:rPr>
        <w:t>郭相臣，副教授，系主任，赤峰工业职业技术学院, 专业定位</w:t>
      </w:r>
    </w:p>
    <w:p>
      <w:pPr>
        <w:tabs>
          <w:tab w:val="left" w:pos="420"/>
        </w:tabs>
        <w:spacing w:line="360" w:lineRule="auto"/>
        <w:ind w:firstLine="720" w:firstLineChars="300"/>
        <w:rPr>
          <w:rFonts w:ascii="仿宋_GB2312" w:hAnsi="仿宋" w:eastAsia="仿宋_GB2312"/>
          <w:color w:val="000000"/>
          <w:sz w:val="24"/>
        </w:rPr>
      </w:pPr>
      <w:r>
        <w:rPr>
          <w:rFonts w:hint="eastAsia" w:ascii="仿宋_GB2312" w:hAnsi="仿宋" w:eastAsia="仿宋_GB2312"/>
          <w:color w:val="000000"/>
          <w:sz w:val="24"/>
        </w:rPr>
        <w:t>杨玮红，副教授，系书记，赤峰工业职业技术学院,</w:t>
      </w:r>
      <w:r>
        <w:rPr>
          <w:rFonts w:hint="eastAsia" w:ascii="仿宋" w:hAnsi="仿宋" w:eastAsia="仿宋"/>
          <w:color w:val="000000"/>
          <w:sz w:val="24"/>
        </w:rPr>
        <w:t xml:space="preserve"> </w:t>
      </w:r>
      <w:r>
        <w:rPr>
          <w:rFonts w:hint="eastAsia" w:ascii="仿宋" w:hAnsi="仿宋" w:eastAsia="仿宋"/>
          <w:sz w:val="24"/>
        </w:rPr>
        <w:t>教</w:t>
      </w:r>
      <w:r>
        <w:rPr>
          <w:rFonts w:hint="eastAsia" w:ascii="仿宋_GB2312" w:hAnsi="仿宋" w:eastAsia="仿宋_GB2312"/>
          <w:color w:val="000000"/>
          <w:sz w:val="24"/>
        </w:rPr>
        <w:t>学进程表编排</w:t>
      </w:r>
    </w:p>
    <w:p>
      <w:pPr>
        <w:spacing w:line="360" w:lineRule="auto"/>
        <w:ind w:firstLine="720" w:firstLineChars="300"/>
        <w:rPr>
          <w:rFonts w:ascii="仿宋" w:hAnsi="仿宋" w:eastAsia="仿宋"/>
          <w:color w:val="000000"/>
          <w:sz w:val="24"/>
        </w:rPr>
      </w:pPr>
      <w:r>
        <w:rPr>
          <w:rFonts w:hint="eastAsia" w:ascii="仿宋_GB2312" w:hAnsi="仿宋" w:eastAsia="仿宋_GB2312"/>
          <w:color w:val="000000"/>
          <w:sz w:val="24"/>
        </w:rPr>
        <w:t>黄素丽，教授，思政部主任，</w:t>
      </w:r>
      <w:r>
        <w:rPr>
          <w:rFonts w:hint="eastAsia" w:ascii="仿宋" w:hAnsi="仿宋" w:eastAsia="仿宋"/>
          <w:color w:val="000000"/>
          <w:sz w:val="24"/>
        </w:rPr>
        <w:t>赤峰工业职业技术学院，思政课编排、审核</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十</w:t>
      </w:r>
      <w:r>
        <w:rPr>
          <w:rFonts w:hint="eastAsia" w:ascii="仿宋_GB2312" w:hAnsi="仿宋" w:eastAsia="仿宋_GB2312"/>
          <w:b/>
          <w:color w:val="000000"/>
          <w:sz w:val="24"/>
          <w:lang w:eastAsia="zh-CN"/>
        </w:rPr>
        <w:t>二</w:t>
      </w:r>
      <w:r>
        <w:rPr>
          <w:rFonts w:hint="eastAsia" w:ascii="仿宋_GB2312" w:hAnsi="仿宋" w:eastAsia="仿宋_GB2312"/>
          <w:b/>
          <w:color w:val="000000"/>
          <w:sz w:val="24"/>
        </w:rPr>
        <w:t>、附录</w:t>
      </w:r>
    </w:p>
    <w:p>
      <w:pPr>
        <w:tabs>
          <w:tab w:val="left" w:pos="420"/>
        </w:tabs>
        <w:spacing w:line="360" w:lineRule="auto"/>
        <w:ind w:firstLine="360" w:firstLineChars="150"/>
        <w:rPr>
          <w:rFonts w:hint="eastAsia" w:ascii="仿宋_GB2312" w:hAnsi="仿宋" w:eastAsia="仿宋_GB2312"/>
          <w:color w:val="000000"/>
          <w:sz w:val="24"/>
        </w:rPr>
      </w:pPr>
      <w:r>
        <w:rPr>
          <w:rFonts w:hint="eastAsia" w:ascii="仿宋_GB2312" w:hAnsi="仿宋" w:eastAsia="仿宋_GB2312"/>
          <w:color w:val="000000"/>
          <w:sz w:val="24"/>
        </w:rPr>
        <w:t>附录1：教学进程总体安排表</w:t>
      </w:r>
    </w:p>
    <w:sectPr>
      <w:footerReference r:id="rId3" w:type="default"/>
      <w:pgSz w:w="11906" w:h="16838"/>
      <w:pgMar w:top="1440" w:right="1418" w:bottom="1440" w:left="1418"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2821568"/>
    </w:sdtPr>
    <w:sdtEndPr>
      <w:rPr>
        <w:rFonts w:ascii="Times New Roman" w:hAnsi="Times New Roman"/>
      </w:rPr>
    </w:sdtEndPr>
    <w:sdtContent>
      <w:p>
        <w:pPr>
          <w:pStyle w:val="4"/>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19</w:t>
        </w:r>
        <w:r>
          <w:rPr>
            <w:rFonts w:ascii="Times New Roman" w:hAnsi="Times New Roma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08628C"/>
    <w:rsid w:val="0001052D"/>
    <w:rsid w:val="0004284E"/>
    <w:rsid w:val="0005744A"/>
    <w:rsid w:val="00090B63"/>
    <w:rsid w:val="000B010E"/>
    <w:rsid w:val="000B2980"/>
    <w:rsid w:val="000D6679"/>
    <w:rsid w:val="000F5C5F"/>
    <w:rsid w:val="00103112"/>
    <w:rsid w:val="00110A42"/>
    <w:rsid w:val="00123609"/>
    <w:rsid w:val="00124173"/>
    <w:rsid w:val="00135B17"/>
    <w:rsid w:val="0015743E"/>
    <w:rsid w:val="00162A1A"/>
    <w:rsid w:val="00172CD9"/>
    <w:rsid w:val="001819A4"/>
    <w:rsid w:val="00182086"/>
    <w:rsid w:val="001856DA"/>
    <w:rsid w:val="00187ECE"/>
    <w:rsid w:val="001A6F05"/>
    <w:rsid w:val="001A7F34"/>
    <w:rsid w:val="001B4D69"/>
    <w:rsid w:val="001C5A78"/>
    <w:rsid w:val="001D356E"/>
    <w:rsid w:val="001F5183"/>
    <w:rsid w:val="00200D7A"/>
    <w:rsid w:val="00232B19"/>
    <w:rsid w:val="00233267"/>
    <w:rsid w:val="0025383A"/>
    <w:rsid w:val="002564D9"/>
    <w:rsid w:val="00265518"/>
    <w:rsid w:val="00281694"/>
    <w:rsid w:val="00284EFA"/>
    <w:rsid w:val="00286C76"/>
    <w:rsid w:val="002A5B8B"/>
    <w:rsid w:val="002A5BE5"/>
    <w:rsid w:val="002B0F9A"/>
    <w:rsid w:val="002E3661"/>
    <w:rsid w:val="002E4FDE"/>
    <w:rsid w:val="002F2785"/>
    <w:rsid w:val="002F6C9E"/>
    <w:rsid w:val="00307EC1"/>
    <w:rsid w:val="00312F09"/>
    <w:rsid w:val="0031526B"/>
    <w:rsid w:val="00324F34"/>
    <w:rsid w:val="00334EE2"/>
    <w:rsid w:val="00375607"/>
    <w:rsid w:val="00384212"/>
    <w:rsid w:val="003922D2"/>
    <w:rsid w:val="003C7C86"/>
    <w:rsid w:val="003D650F"/>
    <w:rsid w:val="003E0597"/>
    <w:rsid w:val="003E12E5"/>
    <w:rsid w:val="003E21B4"/>
    <w:rsid w:val="004026A0"/>
    <w:rsid w:val="00417DDC"/>
    <w:rsid w:val="00474E4D"/>
    <w:rsid w:val="00493568"/>
    <w:rsid w:val="00494E0A"/>
    <w:rsid w:val="004A3CAD"/>
    <w:rsid w:val="004A5BEC"/>
    <w:rsid w:val="004B6551"/>
    <w:rsid w:val="004C6CDA"/>
    <w:rsid w:val="004D690A"/>
    <w:rsid w:val="004D7F11"/>
    <w:rsid w:val="004E6203"/>
    <w:rsid w:val="004F49A3"/>
    <w:rsid w:val="005020AE"/>
    <w:rsid w:val="005140BA"/>
    <w:rsid w:val="00515395"/>
    <w:rsid w:val="00522838"/>
    <w:rsid w:val="00525638"/>
    <w:rsid w:val="00532749"/>
    <w:rsid w:val="00533C00"/>
    <w:rsid w:val="0053544F"/>
    <w:rsid w:val="00551535"/>
    <w:rsid w:val="00557F93"/>
    <w:rsid w:val="00571285"/>
    <w:rsid w:val="00576983"/>
    <w:rsid w:val="00584E80"/>
    <w:rsid w:val="00597533"/>
    <w:rsid w:val="005A42C0"/>
    <w:rsid w:val="005B405F"/>
    <w:rsid w:val="005E2974"/>
    <w:rsid w:val="005F00E2"/>
    <w:rsid w:val="00607C62"/>
    <w:rsid w:val="00607DD0"/>
    <w:rsid w:val="006141F5"/>
    <w:rsid w:val="0061455F"/>
    <w:rsid w:val="00622A4C"/>
    <w:rsid w:val="00645FA7"/>
    <w:rsid w:val="00652F91"/>
    <w:rsid w:val="006550F1"/>
    <w:rsid w:val="006561A1"/>
    <w:rsid w:val="006575D3"/>
    <w:rsid w:val="0067104A"/>
    <w:rsid w:val="006730C8"/>
    <w:rsid w:val="006767B1"/>
    <w:rsid w:val="00691E9B"/>
    <w:rsid w:val="006A396B"/>
    <w:rsid w:val="006F3725"/>
    <w:rsid w:val="00704B41"/>
    <w:rsid w:val="007168BD"/>
    <w:rsid w:val="00724AC4"/>
    <w:rsid w:val="0073580D"/>
    <w:rsid w:val="00747FA5"/>
    <w:rsid w:val="00754362"/>
    <w:rsid w:val="00760FF0"/>
    <w:rsid w:val="00785E7B"/>
    <w:rsid w:val="00791344"/>
    <w:rsid w:val="00794A72"/>
    <w:rsid w:val="007A1ED9"/>
    <w:rsid w:val="007A4236"/>
    <w:rsid w:val="007A79FC"/>
    <w:rsid w:val="007C43EC"/>
    <w:rsid w:val="007D143C"/>
    <w:rsid w:val="007D7B5E"/>
    <w:rsid w:val="007E0888"/>
    <w:rsid w:val="0080721A"/>
    <w:rsid w:val="00825AE4"/>
    <w:rsid w:val="008448A1"/>
    <w:rsid w:val="00853BAD"/>
    <w:rsid w:val="00874F48"/>
    <w:rsid w:val="00886305"/>
    <w:rsid w:val="00891DCC"/>
    <w:rsid w:val="00893A08"/>
    <w:rsid w:val="008A6C44"/>
    <w:rsid w:val="008C0129"/>
    <w:rsid w:val="008C27C9"/>
    <w:rsid w:val="008D4BEE"/>
    <w:rsid w:val="008E2671"/>
    <w:rsid w:val="008F07DE"/>
    <w:rsid w:val="008F4340"/>
    <w:rsid w:val="00906C0B"/>
    <w:rsid w:val="0093463F"/>
    <w:rsid w:val="00936277"/>
    <w:rsid w:val="009409AA"/>
    <w:rsid w:val="00944189"/>
    <w:rsid w:val="00981B02"/>
    <w:rsid w:val="0099618C"/>
    <w:rsid w:val="009A4F2D"/>
    <w:rsid w:val="009B599A"/>
    <w:rsid w:val="009B5AAD"/>
    <w:rsid w:val="009F689A"/>
    <w:rsid w:val="00A01DE0"/>
    <w:rsid w:val="00A1288A"/>
    <w:rsid w:val="00A163A2"/>
    <w:rsid w:val="00A205A5"/>
    <w:rsid w:val="00A359ED"/>
    <w:rsid w:val="00A36E7A"/>
    <w:rsid w:val="00AB184A"/>
    <w:rsid w:val="00AB2AAD"/>
    <w:rsid w:val="00AB39D4"/>
    <w:rsid w:val="00AC4012"/>
    <w:rsid w:val="00AD0585"/>
    <w:rsid w:val="00AD0F14"/>
    <w:rsid w:val="00AD6612"/>
    <w:rsid w:val="00AE0E23"/>
    <w:rsid w:val="00AE2AD8"/>
    <w:rsid w:val="00AE479C"/>
    <w:rsid w:val="00AF3D1A"/>
    <w:rsid w:val="00AF5213"/>
    <w:rsid w:val="00B015D6"/>
    <w:rsid w:val="00B04AAB"/>
    <w:rsid w:val="00B2393F"/>
    <w:rsid w:val="00B325AC"/>
    <w:rsid w:val="00B56ECC"/>
    <w:rsid w:val="00B61BCA"/>
    <w:rsid w:val="00B7449A"/>
    <w:rsid w:val="00B8066E"/>
    <w:rsid w:val="00B80AFE"/>
    <w:rsid w:val="00B8151D"/>
    <w:rsid w:val="00B82639"/>
    <w:rsid w:val="00BB0801"/>
    <w:rsid w:val="00BB5B8B"/>
    <w:rsid w:val="00BC1DF2"/>
    <w:rsid w:val="00BC2B57"/>
    <w:rsid w:val="00BC4D05"/>
    <w:rsid w:val="00BD58C6"/>
    <w:rsid w:val="00BE4BC6"/>
    <w:rsid w:val="00BF74D7"/>
    <w:rsid w:val="00C02A4E"/>
    <w:rsid w:val="00C16EBE"/>
    <w:rsid w:val="00C30967"/>
    <w:rsid w:val="00C323D3"/>
    <w:rsid w:val="00C40277"/>
    <w:rsid w:val="00C41EC3"/>
    <w:rsid w:val="00C42880"/>
    <w:rsid w:val="00C45E53"/>
    <w:rsid w:val="00C46510"/>
    <w:rsid w:val="00C52247"/>
    <w:rsid w:val="00C62F16"/>
    <w:rsid w:val="00C63308"/>
    <w:rsid w:val="00C63F31"/>
    <w:rsid w:val="00C67894"/>
    <w:rsid w:val="00C81C68"/>
    <w:rsid w:val="00C850ED"/>
    <w:rsid w:val="00C85DD0"/>
    <w:rsid w:val="00C9039F"/>
    <w:rsid w:val="00C9729E"/>
    <w:rsid w:val="00C97AF6"/>
    <w:rsid w:val="00CA42D6"/>
    <w:rsid w:val="00CB3647"/>
    <w:rsid w:val="00CB4253"/>
    <w:rsid w:val="00CE6140"/>
    <w:rsid w:val="00CE6FBE"/>
    <w:rsid w:val="00D055F4"/>
    <w:rsid w:val="00D057BE"/>
    <w:rsid w:val="00D135E9"/>
    <w:rsid w:val="00D22B85"/>
    <w:rsid w:val="00D36FC6"/>
    <w:rsid w:val="00D43797"/>
    <w:rsid w:val="00D70DD4"/>
    <w:rsid w:val="00D82CCA"/>
    <w:rsid w:val="00D844BA"/>
    <w:rsid w:val="00DA3C6F"/>
    <w:rsid w:val="00DB0B4C"/>
    <w:rsid w:val="00DC35B3"/>
    <w:rsid w:val="00DE3407"/>
    <w:rsid w:val="00DE5F93"/>
    <w:rsid w:val="00E03C2B"/>
    <w:rsid w:val="00E10191"/>
    <w:rsid w:val="00E11A9D"/>
    <w:rsid w:val="00E200A4"/>
    <w:rsid w:val="00E244F4"/>
    <w:rsid w:val="00E42ACC"/>
    <w:rsid w:val="00E45838"/>
    <w:rsid w:val="00E45FC0"/>
    <w:rsid w:val="00E47816"/>
    <w:rsid w:val="00E74A52"/>
    <w:rsid w:val="00E820C1"/>
    <w:rsid w:val="00E84E6F"/>
    <w:rsid w:val="00EA2766"/>
    <w:rsid w:val="00EA378B"/>
    <w:rsid w:val="00EB464A"/>
    <w:rsid w:val="00EF153F"/>
    <w:rsid w:val="00EF1574"/>
    <w:rsid w:val="00F0619C"/>
    <w:rsid w:val="00F06DCF"/>
    <w:rsid w:val="00F16FDD"/>
    <w:rsid w:val="00F220D3"/>
    <w:rsid w:val="00F24862"/>
    <w:rsid w:val="00F43BA3"/>
    <w:rsid w:val="00F607C5"/>
    <w:rsid w:val="00F642AD"/>
    <w:rsid w:val="00F71A43"/>
    <w:rsid w:val="00F8573A"/>
    <w:rsid w:val="00F9336D"/>
    <w:rsid w:val="00F950EE"/>
    <w:rsid w:val="00F973B1"/>
    <w:rsid w:val="00F97AF9"/>
    <w:rsid w:val="00FA5F12"/>
    <w:rsid w:val="00FC2D30"/>
    <w:rsid w:val="00FD4D17"/>
    <w:rsid w:val="0908628C"/>
    <w:rsid w:val="1DE363EC"/>
    <w:rsid w:val="1FA37B60"/>
    <w:rsid w:val="44D20842"/>
    <w:rsid w:val="46CB30C1"/>
    <w:rsid w:val="6F35313B"/>
    <w:rsid w:val="71F41A44"/>
    <w:rsid w:val="73337659"/>
    <w:rsid w:val="7DE87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3"/>
    <w:qFormat/>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563C1" w:themeColor="hyperlink"/>
      <w:u w:val="single"/>
      <w14:textFill>
        <w14:solidFill>
          <w14:schemeClr w14:val="hlink"/>
        </w14:solidFill>
      </w14:textFill>
    </w:rPr>
  </w:style>
  <w:style w:type="character" w:styleId="9">
    <w:name w:val="annotation reference"/>
    <w:basedOn w:val="7"/>
    <w:qFormat/>
    <w:uiPriority w:val="0"/>
    <w:rPr>
      <w:sz w:val="21"/>
      <w:szCs w:val="21"/>
    </w:rPr>
  </w:style>
  <w:style w:type="character" w:customStyle="1" w:styleId="10">
    <w:name w:val="页眉 字符"/>
    <w:basedOn w:val="7"/>
    <w:link w:val="5"/>
    <w:qFormat/>
    <w:uiPriority w:val="0"/>
    <w:rPr>
      <w:rFonts w:ascii="Calibri" w:hAnsi="Calibri"/>
      <w:kern w:val="2"/>
      <w:sz w:val="18"/>
      <w:szCs w:val="18"/>
    </w:rPr>
  </w:style>
  <w:style w:type="character" w:customStyle="1" w:styleId="11">
    <w:name w:val="页脚 字符"/>
    <w:basedOn w:val="7"/>
    <w:link w:val="4"/>
    <w:qFormat/>
    <w:uiPriority w:val="99"/>
    <w:rPr>
      <w:rFonts w:ascii="Calibri" w:hAnsi="Calibri"/>
      <w:kern w:val="2"/>
      <w:sz w:val="18"/>
      <w:szCs w:val="18"/>
    </w:rPr>
  </w:style>
  <w:style w:type="paragraph" w:styleId="12">
    <w:name w:val="List Paragraph"/>
    <w:basedOn w:val="1"/>
    <w:unhideWhenUsed/>
    <w:qFormat/>
    <w:uiPriority w:val="99"/>
    <w:pPr>
      <w:ind w:firstLine="420" w:firstLineChars="200"/>
    </w:pPr>
  </w:style>
  <w:style w:type="character" w:customStyle="1" w:styleId="13">
    <w:name w:val="批注框文本 字符"/>
    <w:basedOn w:val="7"/>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20</Pages>
  <Words>16048</Words>
  <Characters>16444</Characters>
  <Lines>120</Lines>
  <Paragraphs>34</Paragraphs>
  <TotalTime>4</TotalTime>
  <ScaleCrop>false</ScaleCrop>
  <LinksUpToDate>false</LinksUpToDate>
  <CharactersWithSpaces>16497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2020-11-12T03:46:00Z</dcterms:created>
  <dc:creator>傲娇的</dc:creator>
  <cp:lastModifiedBy>玮红</cp:lastModifiedBy>
  <cp:lastPrinted>2022-03-28T08:37:26Z</cp:lastPrinted>
  <dcterms:modified xsi:type="dcterms:W3CDTF">2022-03-28T08:39:31Z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08EAB219C08348FBA08C0E4AB4FE3237</vt:lpwstr>
  </property>
</Properties>
</file>