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84" w:rsidRDefault="00B47984" w:rsidP="00B47984">
      <w:pPr>
        <w:pStyle w:val="BodyTextFirstIndent1"/>
        <w:ind w:firstLineChars="0" w:firstLine="0"/>
        <w:jc w:val="center"/>
        <w:rPr>
          <w:rFonts w:ascii="仿宋" w:eastAsia="仿宋" w:hAnsi="仿宋" w:cs="仿宋"/>
          <w:b w:val="0"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6"/>
          <w:szCs w:val="36"/>
        </w:rPr>
        <w:t>二级学院校企合作年度目标考评体系</w:t>
      </w:r>
    </w:p>
    <w:tbl>
      <w:tblPr>
        <w:tblStyle w:val="a7"/>
        <w:tblW w:w="14114" w:type="dxa"/>
        <w:jc w:val="center"/>
        <w:tblLayout w:type="fixed"/>
        <w:tblLook w:val="04A0"/>
      </w:tblPr>
      <w:tblGrid>
        <w:gridCol w:w="646"/>
        <w:gridCol w:w="1888"/>
        <w:gridCol w:w="672"/>
        <w:gridCol w:w="7613"/>
        <w:gridCol w:w="1763"/>
        <w:gridCol w:w="1532"/>
      </w:tblGrid>
      <w:tr w:rsidR="00B47984" w:rsidTr="0083273C">
        <w:trPr>
          <w:trHeight w:val="617"/>
          <w:jc w:val="center"/>
        </w:trPr>
        <w:tc>
          <w:tcPr>
            <w:tcW w:w="2534" w:type="dxa"/>
            <w:gridSpan w:val="2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工作目标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满分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分值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目标说明</w:t>
            </w:r>
          </w:p>
        </w:tc>
        <w:tc>
          <w:tcPr>
            <w:tcW w:w="176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二级学院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考评得分</w:t>
            </w:r>
          </w:p>
        </w:tc>
        <w:tc>
          <w:tcPr>
            <w:tcW w:w="153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B47984" w:rsidTr="0083273C">
        <w:trPr>
          <w:trHeight w:val="617"/>
          <w:jc w:val="center"/>
        </w:trPr>
        <w:tc>
          <w:tcPr>
            <w:tcW w:w="646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过程目标</w:t>
            </w: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建立校企定期联络机制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根据完成情况分为A、B、C三等，A等：已备案建档的企业每学期联系不少于1次，且建立了联系档案；B等：已备案建档的企业学期内没有全面联系，或未建立完善的联系档案；C等：未建立</w:t>
            </w:r>
          </w:p>
        </w:tc>
        <w:tc>
          <w:tcPr>
            <w:tcW w:w="1763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A=7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B=4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C=0</w:t>
            </w:r>
          </w:p>
        </w:tc>
        <w:tc>
          <w:tcPr>
            <w:tcW w:w="1532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由院有关领导、党政办、招生就业处、教务处、教学督导室等部门根据资料及现场情况定等</w:t>
            </w:r>
          </w:p>
        </w:tc>
      </w:tr>
      <w:tr w:rsidR="00B47984" w:rsidTr="0083273C">
        <w:trPr>
          <w:trHeight w:val="617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定期召开校企合作交流活动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根据完成情况分为A、B、C三等，A等：已召开，活动组织质量较高；B等：已召开，但活动组织质量一般；C等：未召开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617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积极开展企业走访调研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根据完成情况分为A、B、C三等，A等：已完成调研走访规定的企业数量，资料收集较好；B等：未完成调研走访规定的企业数量，或资料收集缺口较大；C等：未开展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617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kern w:val="0"/>
                <w:sz w:val="21"/>
                <w:szCs w:val="21"/>
              </w:rPr>
              <w:t>共建技术技能创新平台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根据完成情况分为A、B、C、D四等，A等：已建立，有效服务项目达到5个/年；B等：已建立，有效服务项目达到3个/年；C等：已建立，有效服务项目不足3个/年；D等：未建立</w:t>
            </w:r>
          </w:p>
        </w:tc>
        <w:tc>
          <w:tcPr>
            <w:tcW w:w="1763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A=8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B=6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C=3</w:t>
            </w:r>
          </w:p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D=0</w:t>
            </w: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617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积极推进产业学院建设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根据完成情况分为A、B、C、D四等，A等：已建立，学生总数达到200人；B等：已建立，且已招生；C等：已建立，尚未招生；D等：未建立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617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积极开展订单班建设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b w:val="0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订单班标准：签订协议，且当年招生20人以上。如合作企业规定招生人数在20人以下的，以规定招生数为合格标准</w:t>
            </w:r>
          </w:p>
        </w:tc>
        <w:tc>
          <w:tcPr>
            <w:tcW w:w="1763" w:type="dxa"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每个订单班加2分，加满10分为止</w:t>
            </w: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32"/>
          <w:jc w:val="center"/>
        </w:trPr>
        <w:tc>
          <w:tcPr>
            <w:tcW w:w="646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结果目标</w:t>
            </w: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学生就业率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应届毕业生就业率（统计口径与教育厅要求相同），达到100%为满分</w:t>
            </w:r>
          </w:p>
        </w:tc>
        <w:tc>
          <w:tcPr>
            <w:tcW w:w="1763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A/B</w:t>
            </w: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×C（A代表满分分值；B代表各考核项目满分目标比例；C代表各二级学院实际达到比例）</w:t>
            </w:r>
          </w:p>
        </w:tc>
        <w:tc>
          <w:tcPr>
            <w:tcW w:w="1532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由招生就业处9月份统计，统计截止时间为8月31日</w:t>
            </w: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学生就业专业</w:t>
            </w:r>
          </w:p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对口率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应届毕业生在专业群范围内就业的比例，分子是在专业群内就业的学生数（含专升本学生数），分母是毕业生总数，达到70%为满分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学生就业满意率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在已就业的应届毕业生中测评，分子是对就业单位较满意及以上（测评分为满意、较满意、不满意3档）的学生，分母是参加测评的学生总数，满意率达到95%为满分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雇主满意率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rPr>
                <w:rFonts w:ascii="仿宋" w:eastAsia="仿宋" w:hAnsi="仿宋" w:cs="仿宋"/>
                <w:bCs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zh-TW"/>
              </w:rPr>
              <w:t>指录用应届毕业生的单位或部门对录用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zh-TW"/>
              </w:rPr>
              <w:t>我院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zh-TW"/>
              </w:rPr>
              <w:t>学生的满意度评价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zh-TW"/>
              </w:rPr>
              <w:t>，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>分子是较满意及以上（测评分为满意、较满意、不满意3档）的企业，分母是所有参与测评的企业，企业满意率达到95%为满分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一年内离职率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rPr>
                <w:rFonts w:ascii="仿宋" w:eastAsia="仿宋" w:hAnsi="仿宋" w:cs="仿宋"/>
                <w:color w:val="000000" w:themeColor="text1"/>
                <w:lang w:eastAsia="zh-TW" w:bidi="zh-TW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指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上一届毕业生（如2022年考核二级学院，则统计2021届毕业生）的离职率，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分母是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上一届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毕业生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初次就业总人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数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（按签订三方协议统计）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，分子是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到统计截止时间离开初次就业企业的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毕业生数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（不包括在原企业转岗的人数）。离职率低于30%为满分。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一年内晋升比例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rPr>
                <w:rFonts w:ascii="仿宋" w:eastAsia="仿宋" w:hAnsi="仿宋" w:cs="仿宋"/>
                <w:bCs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指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一年前毕业生（如2022年考核二级学院，则统计2021届毕业生）有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过职位晋升的比例。分母是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一年前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毕业生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总人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数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（扣除专生本人数）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，分子是毕业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一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年后有过职位晋升毕业生数，其中，职位晋升形式可包含职级的增加、管理权限的扩大、专业职称的提升及由此带来的薪资提高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（薪资提高是必要条件）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en-US"/>
              </w:rPr>
              <w:t>。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en-US"/>
              </w:rPr>
              <w:t>晋升比例达到50%为满分。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left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毕业生月收入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rPr>
                <w:rFonts w:ascii="仿宋" w:eastAsia="仿宋" w:hAnsi="仿宋" w:cs="仿宋"/>
                <w:color w:val="000000" w:themeColor="text1"/>
                <w:lang w:eastAsia="zh-TW" w:bidi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zh-TW"/>
              </w:rPr>
              <w:t>应届已就业毕业生8月份平均月收入。月收入指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eastAsia="zh-TW" w:bidi="zh-TW"/>
              </w:rPr>
              <w:t>包含奖金、提成、住宿、住房公积金等折算成的现金总和。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  <w:lang w:bidi="zh-TW"/>
              </w:rPr>
              <w:t>排名第一的二级学院得满分</w:t>
            </w:r>
          </w:p>
        </w:tc>
        <w:tc>
          <w:tcPr>
            <w:tcW w:w="1763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×(B</w:t>
            </w: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/C)</w:t>
            </w:r>
          </w:p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其中A代表满分值；B代表各二级学院实际收入额，C代表排名第一收入额</w:t>
            </w: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  <w:tr w:rsidR="00B47984" w:rsidTr="0083273C">
        <w:trPr>
          <w:trHeight w:val="314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企业培训总收入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指开展企业培训服务，企业支付的培训费当年进入财务账的总额。排名第一的二级学院得满分。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由继续教育学院和科研中心统计，统计截止时间为12月31日</w:t>
            </w:r>
          </w:p>
        </w:tc>
      </w:tr>
      <w:tr w:rsidR="00B47984" w:rsidTr="0083273C">
        <w:trPr>
          <w:trHeight w:val="697"/>
          <w:jc w:val="center"/>
        </w:trPr>
        <w:tc>
          <w:tcPr>
            <w:tcW w:w="646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888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企业技术服务</w:t>
            </w:r>
          </w:p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总收入</w:t>
            </w:r>
          </w:p>
        </w:tc>
        <w:tc>
          <w:tcPr>
            <w:tcW w:w="672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13" w:type="dxa"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1"/>
                <w:szCs w:val="21"/>
              </w:rPr>
              <w:t>指为企业开展技术服务，企业支付的技术服务费用当年进入财务账的总额。排名第一的二级学院得满分。</w:t>
            </w:r>
          </w:p>
        </w:tc>
        <w:tc>
          <w:tcPr>
            <w:tcW w:w="1763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  <w:tc>
          <w:tcPr>
            <w:tcW w:w="1532" w:type="dxa"/>
            <w:vMerge/>
            <w:vAlign w:val="center"/>
          </w:tcPr>
          <w:p w:rsidR="00B47984" w:rsidRDefault="00B47984" w:rsidP="0083273C">
            <w:pPr>
              <w:pStyle w:val="BodyTextFirstIndent1"/>
              <w:ind w:firstLineChars="0" w:firstLine="0"/>
              <w:jc w:val="center"/>
              <w:rPr>
                <w:rFonts w:ascii="仿宋" w:eastAsia="仿宋" w:hAnsi="仿宋" w:cs="仿宋"/>
                <w:b w:val="0"/>
                <w:bCs/>
                <w:color w:val="000000" w:themeColor="text1"/>
                <w:sz w:val="21"/>
              </w:rPr>
            </w:pPr>
          </w:p>
        </w:tc>
      </w:tr>
    </w:tbl>
    <w:p w:rsidR="00B47984" w:rsidRDefault="00B47984" w:rsidP="00B47984">
      <w:pPr>
        <w:pStyle w:val="BodyTextFirstIndent1"/>
        <w:ind w:firstLineChars="0" w:firstLine="0"/>
        <w:rPr>
          <w:rFonts w:ascii="仿宋" w:eastAsia="仿宋" w:hAnsi="仿宋" w:cs="仿宋"/>
          <w:b w:val="0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color w:val="000000" w:themeColor="text1"/>
          <w:sz w:val="21"/>
          <w:szCs w:val="21"/>
        </w:rPr>
        <w:t>说明：涉及学生的统计项目统计范围为普通高职生，其他学生不统计。</w:t>
      </w:r>
    </w:p>
    <w:p w:rsidR="004358AB" w:rsidRPr="00B47984" w:rsidRDefault="004358AB" w:rsidP="00B47984"/>
    <w:sectPr w:rsidR="004358AB" w:rsidRPr="00B47984" w:rsidSect="0049307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7E" w:rsidRDefault="008A7D7E" w:rsidP="00C06AD0">
      <w:pPr>
        <w:spacing w:after="0"/>
      </w:pPr>
      <w:r>
        <w:separator/>
      </w:r>
    </w:p>
  </w:endnote>
  <w:endnote w:type="continuationSeparator" w:id="0">
    <w:p w:rsidR="008A7D7E" w:rsidRDefault="008A7D7E" w:rsidP="00C06A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7A" w:rsidRDefault="0049307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8193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49307A" w:rsidRDefault="0049307A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D02FE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798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7E" w:rsidRDefault="008A7D7E" w:rsidP="00C06AD0">
      <w:pPr>
        <w:spacing w:after="0"/>
      </w:pPr>
      <w:r>
        <w:separator/>
      </w:r>
    </w:p>
  </w:footnote>
  <w:footnote w:type="continuationSeparator" w:id="0">
    <w:p w:rsidR="008A7D7E" w:rsidRDefault="008A7D7E" w:rsidP="00C06A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307A"/>
    <w:rsid w:val="006054E5"/>
    <w:rsid w:val="008A7D7E"/>
    <w:rsid w:val="008B7726"/>
    <w:rsid w:val="009C6DFA"/>
    <w:rsid w:val="00B47984"/>
    <w:rsid w:val="00C06AD0"/>
    <w:rsid w:val="00C23E89"/>
    <w:rsid w:val="00D02FEB"/>
    <w:rsid w:val="00D31D50"/>
    <w:rsid w:val="00D8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A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A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06A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AD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06A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06AD0"/>
    <w:rPr>
      <w:b/>
      <w:bCs/>
    </w:rPr>
  </w:style>
  <w:style w:type="paragraph" w:customStyle="1" w:styleId="BodyTextFirstIndent1">
    <w:name w:val="Body Text First Indent1"/>
    <w:basedOn w:val="a"/>
    <w:qFormat/>
    <w:rsid w:val="00C23E89"/>
    <w:pPr>
      <w:widowControl w:val="0"/>
      <w:adjustRightInd/>
      <w:snapToGrid/>
      <w:spacing w:after="0"/>
      <w:ind w:firstLineChars="100" w:firstLine="100"/>
      <w:jc w:val="both"/>
    </w:pPr>
    <w:rPr>
      <w:rFonts w:ascii="Calibri" w:eastAsia="宋体" w:hAnsi="Calibri" w:cs="Times New Roman"/>
      <w:b/>
      <w:kern w:val="2"/>
      <w:sz w:val="44"/>
      <w:szCs w:val="24"/>
    </w:rPr>
  </w:style>
  <w:style w:type="table" w:styleId="a7">
    <w:name w:val="Table Grid"/>
    <w:basedOn w:val="a1"/>
    <w:uiPriority w:val="39"/>
    <w:qFormat/>
    <w:rsid w:val="00C23E8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2022-11-11T13:07:00Z</dcterms:modified>
</cp:coreProperties>
</file>